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DD752E" w:rsidRDefault="004C1092" w:rsidP="00DD752E">
      <w:pPr>
        <w:pStyle w:val="Title"/>
        <w:spacing w:line="240" w:lineRule="auto"/>
        <w:jc w:val="left"/>
        <w:rPr>
          <w:sz w:val="24"/>
          <w:szCs w:val="24"/>
        </w:rPr>
      </w:pPr>
    </w:p>
    <w:p w14:paraId="39FCDFA5" w14:textId="250346D5" w:rsidR="0064777F" w:rsidRPr="00DD752E" w:rsidRDefault="0064777F" w:rsidP="00DD752E">
      <w:pPr>
        <w:pStyle w:val="Title"/>
        <w:spacing w:line="240" w:lineRule="auto"/>
        <w:rPr>
          <w:sz w:val="24"/>
          <w:szCs w:val="24"/>
        </w:rPr>
      </w:pPr>
      <w:r w:rsidRPr="00DD752E">
        <w:rPr>
          <w:sz w:val="24"/>
          <w:szCs w:val="24"/>
        </w:rPr>
        <w:t>NOTĂ DE FUNDAMENTARE</w:t>
      </w:r>
    </w:p>
    <w:p w14:paraId="1CA3C7C8" w14:textId="77777777" w:rsidR="00983417" w:rsidRPr="00DD752E" w:rsidRDefault="00983417" w:rsidP="00DD752E">
      <w:pPr>
        <w:pStyle w:val="Title"/>
        <w:spacing w:line="240" w:lineRule="auto"/>
        <w:rPr>
          <w:sz w:val="24"/>
          <w:szCs w:val="24"/>
        </w:rPr>
      </w:pPr>
    </w:p>
    <w:p w14:paraId="0448C4F0" w14:textId="77777777" w:rsidR="00223491" w:rsidRPr="00DD752E" w:rsidRDefault="00223491" w:rsidP="00DD752E">
      <w:pPr>
        <w:pStyle w:val="Title"/>
        <w:spacing w:line="240" w:lineRule="auto"/>
        <w:ind w:firstLine="720"/>
        <w:jc w:val="left"/>
        <w:rPr>
          <w:sz w:val="24"/>
          <w:szCs w:val="24"/>
        </w:rPr>
      </w:pPr>
      <w:r w:rsidRPr="00DD752E">
        <w:rPr>
          <w:sz w:val="24"/>
          <w:szCs w:val="24"/>
        </w:rPr>
        <w:t>Secțiunea 1</w:t>
      </w:r>
    </w:p>
    <w:p w14:paraId="78C75447" w14:textId="76B7EDCC" w:rsidR="00223491" w:rsidRPr="00DD752E" w:rsidRDefault="00223491" w:rsidP="00DD752E">
      <w:pPr>
        <w:pStyle w:val="Title"/>
        <w:spacing w:line="240" w:lineRule="auto"/>
        <w:ind w:firstLine="720"/>
        <w:jc w:val="left"/>
        <w:rPr>
          <w:sz w:val="24"/>
          <w:szCs w:val="24"/>
        </w:rPr>
      </w:pPr>
      <w:r w:rsidRPr="00DD752E">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52DB6" w:rsidRPr="004E29B6" w14:paraId="117C71DD" w14:textId="77777777" w:rsidTr="00223491">
        <w:tc>
          <w:tcPr>
            <w:tcW w:w="10490" w:type="dxa"/>
          </w:tcPr>
          <w:p w14:paraId="338F09EC" w14:textId="254C12F0" w:rsidR="00670C79" w:rsidRPr="00DD752E" w:rsidRDefault="00DC60E2" w:rsidP="00DD752E">
            <w:pPr>
              <w:jc w:val="center"/>
              <w:rPr>
                <w:b/>
              </w:rPr>
            </w:pPr>
            <w:bookmarkStart w:id="0" w:name="_Hlk134454458"/>
            <w:r w:rsidRPr="00DD752E">
              <w:rPr>
                <w:b/>
                <w:lang w:eastAsia="ro-RO"/>
              </w:rPr>
              <w:t>ORDONANȚĂ DE URGENȚĂ</w:t>
            </w:r>
            <w:bookmarkStart w:id="1" w:name="_Hlk109905761"/>
            <w:r w:rsidR="000776D2" w:rsidRPr="00DD752E">
              <w:rPr>
                <w:b/>
                <w:lang w:eastAsia="ro-RO"/>
              </w:rPr>
              <w:t xml:space="preserve">  </w:t>
            </w:r>
            <w:r w:rsidR="00E966E1" w:rsidRPr="00DD752E">
              <w:rPr>
                <w:b/>
              </w:rPr>
              <w:t xml:space="preserve">privind unele măsuri pentru implementarea proiectelor de infrastructură publică de sănătate cu finanțare din fonduri externe nerambursabile în cadrul Programului Sănătate și din împrumuturi contractate cu </w:t>
            </w:r>
            <w:bookmarkStart w:id="2" w:name="_Hlk126587593"/>
            <w:r w:rsidR="00E966E1" w:rsidRPr="00DD752E">
              <w:rPr>
                <w:b/>
              </w:rPr>
              <w:t>Instituțiile Financiare Internaționale</w:t>
            </w:r>
            <w:bookmarkEnd w:id="0"/>
            <w:bookmarkEnd w:id="1"/>
            <w:bookmarkEnd w:id="2"/>
          </w:p>
        </w:tc>
      </w:tr>
    </w:tbl>
    <w:p w14:paraId="2CE089BE" w14:textId="7BDFBE6D" w:rsidR="00BC6BCA" w:rsidRPr="00DD752E" w:rsidRDefault="00BC6BCA" w:rsidP="00DD752E">
      <w:pPr>
        <w:rPr>
          <w:b/>
          <w:lang w:eastAsia="ro-RO"/>
        </w:rPr>
      </w:pPr>
    </w:p>
    <w:p w14:paraId="33C1CD30" w14:textId="77777777" w:rsidR="00223491" w:rsidRPr="00DD752E" w:rsidRDefault="00C5468F" w:rsidP="00DD752E">
      <w:pPr>
        <w:ind w:firstLine="720"/>
        <w:jc w:val="both"/>
        <w:rPr>
          <w:b/>
          <w:lang w:eastAsia="ro-RO"/>
        </w:rPr>
      </w:pPr>
      <w:r w:rsidRPr="00DD752E">
        <w:rPr>
          <w:b/>
          <w:lang w:eastAsia="ro-RO"/>
        </w:rPr>
        <w:t>Secțiunea</w:t>
      </w:r>
      <w:r w:rsidR="00670C79" w:rsidRPr="00DD752E">
        <w:rPr>
          <w:b/>
          <w:lang w:eastAsia="ro-RO"/>
        </w:rPr>
        <w:t xml:space="preserve"> a 2-a  </w:t>
      </w:r>
    </w:p>
    <w:p w14:paraId="23181ACA" w14:textId="4A5ED943" w:rsidR="00CB78C4" w:rsidRPr="00DD752E" w:rsidRDefault="00670C79" w:rsidP="00DD752E">
      <w:pPr>
        <w:ind w:firstLine="720"/>
        <w:jc w:val="both"/>
        <w:rPr>
          <w:b/>
          <w:lang w:eastAsia="ro-RO"/>
        </w:rPr>
      </w:pPr>
      <w:r w:rsidRPr="00DD752E">
        <w:rPr>
          <w:b/>
          <w:lang w:eastAsia="ro-RO"/>
        </w:rPr>
        <w:t>Motivul emiterii actului normativ</w:t>
      </w:r>
      <w:r w:rsidR="0066428B" w:rsidRPr="00DD752E">
        <w:rPr>
          <w:b/>
          <w:lang w:eastAsia="ro-RO"/>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52DB6" w:rsidRPr="004E29B6" w14:paraId="47D7FD1D" w14:textId="77777777" w:rsidTr="00E669C2">
        <w:trPr>
          <w:trHeight w:val="841"/>
        </w:trPr>
        <w:tc>
          <w:tcPr>
            <w:tcW w:w="10490" w:type="dxa"/>
          </w:tcPr>
          <w:p w14:paraId="083EB0F1" w14:textId="77777777" w:rsidR="008441CD" w:rsidRPr="00DD752E" w:rsidRDefault="00223491" w:rsidP="00DD752E">
            <w:pPr>
              <w:autoSpaceDE w:val="0"/>
              <w:autoSpaceDN w:val="0"/>
              <w:adjustRightInd w:val="0"/>
              <w:jc w:val="both"/>
              <w:rPr>
                <w:bCs/>
                <w:lang w:eastAsia="ro-RO"/>
              </w:rPr>
            </w:pPr>
            <w:r w:rsidRPr="00DD752E">
              <w:rPr>
                <w:bCs/>
                <w:lang w:eastAsia="ro-RO"/>
              </w:rPr>
              <w:t xml:space="preserve">2.1 </w:t>
            </w:r>
            <w:r w:rsidRPr="00DD752E">
              <w:rPr>
                <w:b/>
                <w:lang w:eastAsia="ro-RO"/>
              </w:rPr>
              <w:t>Sursa proiectului de act normativ</w:t>
            </w:r>
            <w:r w:rsidRPr="00DD752E">
              <w:rPr>
                <w:bCs/>
                <w:lang w:eastAsia="ro-RO"/>
              </w:rPr>
              <w:t xml:space="preserve"> </w:t>
            </w:r>
          </w:p>
          <w:p w14:paraId="2B215A7F" w14:textId="4978F3C3" w:rsidR="009A072C" w:rsidRPr="00DD752E" w:rsidRDefault="009A072C" w:rsidP="00DD752E">
            <w:pPr>
              <w:autoSpaceDE w:val="0"/>
              <w:autoSpaceDN w:val="0"/>
              <w:adjustRightInd w:val="0"/>
              <w:jc w:val="both"/>
              <w:rPr>
                <w:bCs/>
              </w:rPr>
            </w:pPr>
            <w:r w:rsidRPr="00DD752E">
              <w:rPr>
                <w:bCs/>
              </w:rPr>
              <w:t>Infrastructura publică de sănătate constituie o prioritate a Guvernului României și a Programului de Guvernare 2021 - 2024, deoarece aceasta are un impact major asupra asigurării accesului populației la servicii publice de sănătate de un înalt nivel calitativ, precum și la îmbunătățirea condițiilor de spitalizare de zi sau spitalizare continuă din unitățile sanitare publice.</w:t>
            </w:r>
          </w:p>
          <w:p w14:paraId="00B7C3FC" w14:textId="08F14644" w:rsidR="00246924" w:rsidRPr="00DD752E" w:rsidRDefault="00246924" w:rsidP="00DD752E">
            <w:pPr>
              <w:autoSpaceDE w:val="0"/>
              <w:autoSpaceDN w:val="0"/>
              <w:adjustRightInd w:val="0"/>
              <w:jc w:val="both"/>
              <w:rPr>
                <w:bCs/>
              </w:rPr>
            </w:pPr>
            <w:r w:rsidRPr="00DD752E">
              <w:rPr>
                <w:bCs/>
              </w:rPr>
              <w:t xml:space="preserve">Prin Memorandumul cu tema: Acord de principiu privind contractarea unei asistente financiare rambursabile de la Banca Europeana de Investiții, in vederea acoperirii parțiale a finanțării publice naționale necesare implementării unor reforme si/sau investiții cuprinse in Planul National de Redresare si Reziliență si in Programul Sănătate, aprobat în ședința Guvernului din data de 21 septembrie 2022, a fost aprobată acordarea unei asistente financiare rambursabile pentru acoperirea parțială a finanțării publice naționale aferentă acestuia de către Banca Europeana de Investiții. </w:t>
            </w:r>
          </w:p>
          <w:p w14:paraId="57555FE8" w14:textId="07CDF11F" w:rsidR="00E966E1" w:rsidRPr="00DD752E" w:rsidRDefault="00246924" w:rsidP="00DD752E">
            <w:pPr>
              <w:jc w:val="both"/>
              <w:rPr>
                <w:bCs/>
              </w:rPr>
            </w:pPr>
            <w:r w:rsidRPr="00DD752E">
              <w:rPr>
                <w:bCs/>
              </w:rPr>
              <w:t>Ulterior acestui Memorandum,</w:t>
            </w:r>
            <w:r w:rsidR="00E6296B" w:rsidRPr="00DD752E">
              <w:rPr>
                <w:bCs/>
              </w:rPr>
              <w:t xml:space="preserve"> </w:t>
            </w:r>
            <w:r w:rsidR="009A072C" w:rsidRPr="00DD752E">
              <w:rPr>
                <w:bCs/>
              </w:rPr>
              <w:t xml:space="preserve">prin decizia Decizia de punere în aplicare a Comisiei nr. 8934 din data de 30 noiembrie 2022  de aprobare a programului „Sănătate” pentru sprijin din partea Fondului european de dezvoltare regională și Fondului social european Plus în cadrul obiectivului „Investiții pentru ocuparea forței de muncă și creștere economică” din România, a fost aprobat Programul Sănătate în cadrul căruia pentru infrastructura publică de sănătate au fost aprobate fonduri din împrumuturi de 2 miliarde euro sub formă de cofinanțare publică din împrumut contractat cu Instituțiile Financiare Internaționale, destinate în principal pentru realizarea de investiții de extindere/ modernizare/ reabilitare, inclusiv construcții noi și dotarea cu echipamente medicale în unitățile sanitare cu paturi cu scopul de a asigura creșterea accesului la servicii publice de sănătate de calitate destinate populației și cu scopul de a îmbunătăți starea tehnică generală a acestei categorii de infrastructuri.  </w:t>
            </w:r>
          </w:p>
          <w:p w14:paraId="3D0C8ECF" w14:textId="226A1033" w:rsidR="007E22CA" w:rsidRPr="00DD752E" w:rsidRDefault="00246924" w:rsidP="00DD752E">
            <w:pPr>
              <w:autoSpaceDE w:val="0"/>
              <w:autoSpaceDN w:val="0"/>
              <w:adjustRightInd w:val="0"/>
              <w:jc w:val="both"/>
              <w:rPr>
                <w:bCs/>
                <w:lang w:eastAsia="ro-RO"/>
              </w:rPr>
            </w:pPr>
            <w:r w:rsidRPr="00DD752E">
              <w:rPr>
                <w:bCs/>
              </w:rPr>
              <w:t xml:space="preserve">In cadrul </w:t>
            </w:r>
            <w:r w:rsidR="00F8376C" w:rsidRPr="00DD752E">
              <w:rPr>
                <w:bCs/>
              </w:rPr>
              <w:t>Programului</w:t>
            </w:r>
            <w:r w:rsidRPr="00DD752E">
              <w:rPr>
                <w:bCs/>
              </w:rPr>
              <w:t xml:space="preserve"> de </w:t>
            </w:r>
            <w:r w:rsidR="00F8376C" w:rsidRPr="00DD752E">
              <w:rPr>
                <w:bCs/>
              </w:rPr>
              <w:t>sănătate</w:t>
            </w:r>
            <w:r w:rsidR="00B26011" w:rsidRPr="00DD752E">
              <w:rPr>
                <w:bCs/>
              </w:rPr>
              <w:t xml:space="preserve"> necesitatea deriva din oportunitatea implementării unui număr de proiecte in domeniul sănătății, fiind investiții de interes public si strategic, menționate ca priorități si in programul de guvernare.</w:t>
            </w:r>
            <w:r w:rsidRPr="00DD752E">
              <w:rPr>
                <w:bCs/>
              </w:rPr>
              <w:t xml:space="preserve"> </w:t>
            </w:r>
          </w:p>
          <w:p w14:paraId="777690A7" w14:textId="37727400" w:rsidR="00223491" w:rsidRPr="00DD752E" w:rsidRDefault="00223491" w:rsidP="00DD752E">
            <w:pPr>
              <w:autoSpaceDE w:val="0"/>
              <w:autoSpaceDN w:val="0"/>
              <w:adjustRightInd w:val="0"/>
              <w:jc w:val="both"/>
              <w:rPr>
                <w:b/>
                <w:lang w:eastAsia="ro-RO"/>
              </w:rPr>
            </w:pPr>
            <w:r w:rsidRPr="00DD752E">
              <w:rPr>
                <w:bCs/>
                <w:lang w:eastAsia="ro-RO"/>
              </w:rPr>
              <w:t xml:space="preserve">2.2 </w:t>
            </w:r>
            <w:r w:rsidRPr="00DD752E">
              <w:rPr>
                <w:b/>
                <w:lang w:eastAsia="ro-RO"/>
              </w:rPr>
              <w:t>Descrierea situației actuale</w:t>
            </w:r>
          </w:p>
          <w:p w14:paraId="2B809D28" w14:textId="6544031C" w:rsidR="000B09E1" w:rsidRPr="00DD752E" w:rsidRDefault="000B09E1" w:rsidP="00DD752E">
            <w:pPr>
              <w:autoSpaceDE w:val="0"/>
              <w:autoSpaceDN w:val="0"/>
              <w:adjustRightInd w:val="0"/>
              <w:jc w:val="both"/>
              <w:rPr>
                <w:bCs/>
              </w:rPr>
            </w:pPr>
            <w:r w:rsidRPr="00DD752E">
              <w:rPr>
                <w:bCs/>
              </w:rPr>
              <w:t xml:space="preserve">Perioada 2020-2021 a marcat sectorul spitalicesc, din cauza pandemiei de COVID - 19 astfel încât problemele sectorului spitalicesc - infrastructura învechită, circuitele neperformante, siguranța pacientului, personalul insuficient - au devenit și mai pregnante. </w:t>
            </w:r>
          </w:p>
          <w:p w14:paraId="0019D66F" w14:textId="77777777" w:rsidR="000B09E1" w:rsidRPr="00DD752E" w:rsidRDefault="000B09E1" w:rsidP="00DD752E">
            <w:pPr>
              <w:autoSpaceDE w:val="0"/>
              <w:autoSpaceDN w:val="0"/>
              <w:adjustRightInd w:val="0"/>
              <w:jc w:val="both"/>
              <w:rPr>
                <w:bCs/>
              </w:rPr>
            </w:pPr>
            <w:r w:rsidRPr="00DD752E">
              <w:rPr>
                <w:bCs/>
              </w:rPr>
              <w:t>Transformarea sistemului de sănătate se produce lent, discontinuu și fragmentat, fiind în continuare marcat de deficiențe structurale una dintre ele fiind infrastructura de sănătate care este distribuită neuniform între regiuni și județe, cu capacități și cu niveluri de dotare inegale, puțin adecvate nevoilor de sănătate ale populației și neadaptate tehnologiilor moderne.</w:t>
            </w:r>
          </w:p>
          <w:p w14:paraId="7A441E10" w14:textId="77777777" w:rsidR="000B09E1" w:rsidRPr="00DD752E" w:rsidRDefault="000B09E1" w:rsidP="00DD752E">
            <w:pPr>
              <w:autoSpaceDE w:val="0"/>
              <w:autoSpaceDN w:val="0"/>
              <w:adjustRightInd w:val="0"/>
              <w:jc w:val="both"/>
              <w:rPr>
                <w:bCs/>
              </w:rPr>
            </w:pPr>
            <w:r w:rsidRPr="00DD752E">
              <w:rPr>
                <w:bCs/>
              </w:rPr>
              <w:t>Pandemia COVID-19 a perturbat sever sistemul de sănătate, accentuând inegalitățile în accesul la servicii și criza resurselor umane. Totodată, s-a întârziat implementarea unor intervenții de servicii publice limitând progresul reformei și agravând tendințele deja existente.</w:t>
            </w:r>
          </w:p>
          <w:p w14:paraId="22423F6E" w14:textId="77777777" w:rsidR="000B09E1" w:rsidRPr="00DD752E" w:rsidRDefault="000B09E1" w:rsidP="00DD752E">
            <w:pPr>
              <w:autoSpaceDE w:val="0"/>
              <w:autoSpaceDN w:val="0"/>
              <w:adjustRightInd w:val="0"/>
              <w:jc w:val="both"/>
              <w:rPr>
                <w:bCs/>
              </w:rPr>
            </w:pPr>
            <w:r w:rsidRPr="00DD752E">
              <w:rPr>
                <w:bCs/>
              </w:rPr>
              <w:t xml:space="preserve">Raportul de tara 2020 evidențiază principalele provocări ale sistemului de sănătate: starea de sănătate sub media Uniunii Europene, una din cele mai scăzute speranțe de viață din Uniunea Europeană (UE), rata mortalității evitabile și cea din cauze tratabile printre cele mai înalte din UE, accesibilitate redusă la servicii de sănătate, infrastructura medicală vetustă, continuitatea și integrarea între diferitele niveluri de îngrijire slăbesc reziliența sistemului de sănătate. </w:t>
            </w:r>
          </w:p>
          <w:p w14:paraId="62882A90" w14:textId="77777777" w:rsidR="000B09E1" w:rsidRPr="00DD752E" w:rsidRDefault="000B09E1" w:rsidP="00DD752E">
            <w:pPr>
              <w:autoSpaceDE w:val="0"/>
              <w:autoSpaceDN w:val="0"/>
              <w:adjustRightInd w:val="0"/>
              <w:jc w:val="both"/>
              <w:rPr>
                <w:bCs/>
                <w:color w:val="FF0000"/>
                <w:lang w:eastAsia="ro-RO"/>
              </w:rPr>
            </w:pPr>
            <w:r w:rsidRPr="00DD752E">
              <w:rPr>
                <w:bCs/>
              </w:rPr>
              <w:lastRenderedPageBreak/>
              <w:t>Unitățile medicale și medicii sunt distribuiți inegal între rural și urban, iar rețeaua de medici de familie scade constant și nu există stimulente pentru cei din rural. Cheltuielile cu asistența medicală preventivă sunt reduse, iar dotarea cu echipamente terapeutice și de diagnostic este printre cele mai deficitare din UE.</w:t>
            </w:r>
          </w:p>
          <w:p w14:paraId="1CD5BAB8" w14:textId="77777777" w:rsidR="000B09E1" w:rsidRPr="00DD752E" w:rsidRDefault="000B09E1" w:rsidP="00DD752E">
            <w:pPr>
              <w:jc w:val="both"/>
              <w:rPr>
                <w:bCs/>
              </w:rPr>
            </w:pPr>
            <w:r w:rsidRPr="00DD752E">
              <w:rPr>
                <w:bCs/>
              </w:rPr>
              <w:t>Nevoia de fonduri alocate pentru serviciile medicale din România este determinată și de starea actuală a infrastructurii specifice serviciilor medicale care în cea mai mare parte este învechită, expusă riscurilor de infecții nozocomiale și cu circuite care fac ineficientă organizarea activității medicale fiind necesare investiții pentru relocarea activităților specifice unităților medicale.</w:t>
            </w:r>
          </w:p>
          <w:p w14:paraId="4E68E79B" w14:textId="77777777" w:rsidR="000B09E1" w:rsidRPr="00DD752E" w:rsidRDefault="000B09E1" w:rsidP="00DD752E">
            <w:pPr>
              <w:jc w:val="both"/>
              <w:rPr>
                <w:bCs/>
                <w:iCs/>
                <w:lang w:eastAsia="ro-RO"/>
              </w:rPr>
            </w:pPr>
            <w:r w:rsidRPr="00DD752E">
              <w:rPr>
                <w:bCs/>
              </w:rPr>
              <w:t>În acest sens, Programul Sănătate are ca scop creșterea capacității sistemului de sănătate de a fi mai inclusiv, cu o capacitate crescută de a oferi acces la servicii de egală calitate și siguranță tuturor cetățenilor. Programul Sănătate se adresează nivelurilor sistemului de îngrijiri de sănătate pentru a răspunde în timp adecvat și în condiții de calitate și siguranță atât nevoilor actuale de îmbunătățire a accesului la servicii de diagnostic și tratament, dar și nevoilor de servicii de prevenție primară și secundară pentru reducerea îmbolnăvirilor.</w:t>
            </w:r>
          </w:p>
          <w:p w14:paraId="73599E92" w14:textId="40F72999" w:rsidR="002510E7" w:rsidRPr="00DD752E" w:rsidRDefault="000B09E1" w:rsidP="00DD752E">
            <w:pPr>
              <w:jc w:val="both"/>
            </w:pPr>
            <w:r w:rsidRPr="00DD752E">
              <w:t xml:space="preserve">Proiectele de investiții vizate de prezenta ordonanță de urgență sunt investițiile care sunt specifice </w:t>
            </w:r>
            <w:r w:rsidR="002510E7" w:rsidRPr="00DD752E">
              <w:t>acțiunii B - Investiții de mică amploare în infrastructura publică a spitalelor mici, orășenești și municipale  - unități sanitare cu paturi aferente Priorității 2 și acțiunii B - Investiții în infrastructuri spitalicești noi: spitale județene/ județene de urgență; spitale monospecialitate -  unități sanitare cu paturi aferente Priorității 4 din Programul Sănătate.</w:t>
            </w:r>
          </w:p>
          <w:p w14:paraId="123D8C5B" w14:textId="247338E0" w:rsidR="000B09E1" w:rsidRPr="00DD752E" w:rsidRDefault="000B09E1" w:rsidP="00DD752E">
            <w:pPr>
              <w:jc w:val="both"/>
            </w:pPr>
            <w:r w:rsidRPr="00DD752E">
              <w:t>Odată cu alocarea de fonduri destinate infrastructurii publice de sănătate prin Programul Sănătate au fost stabilite condiții de monitorizare specială asupra implementării acestor categorii de proiecte de infrastructură, dar și de consolidare a capacității administrative a viitorilor beneficiari de fonduri externe nerambursabile. Mai mult, Autoritatea de Management pentru Programul Sănătate va realiza monitorizarea periodică a progresului obținut și, în baza acestuia, până la sfârșitul anului 2023 va efectua, împreună cu serviciile Comisiei, o revizuire/ reevaluare a alocărilor/mecanismelor de cofinanțare, inclusiv a împrumutului contractat cu Instituțiile Financiare Internaționale. În situația în care nu se constată progrese în ceea ce privește implementarea proiectelor de infrastructură publică de sănătate, fondurile alocate în cadrul Programului Sănătate ar urma să se realoce pentru alte categorii de investiții din cadrul programului sau, după caz, contribuția UE alocată cu această destinație va fi diminuată în mod corespunzător.</w:t>
            </w:r>
          </w:p>
          <w:p w14:paraId="5E3E3ED2" w14:textId="61376EEF" w:rsidR="000B09E1" w:rsidRPr="00DD752E" w:rsidRDefault="000B09E1" w:rsidP="00DD752E">
            <w:pPr>
              <w:jc w:val="both"/>
            </w:pPr>
            <w:r w:rsidRPr="00DD752E">
              <w:t>Pentru a evita pierderea fondurilor alocate pentru aceste categorii de proiecte de infrastructură extrem de importante pentru dezvoltarea infrastructurii de sănătate sunt necesare în regim de urgență măsuri</w:t>
            </w:r>
            <w:r w:rsidR="00C46511" w:rsidRPr="00DD752E">
              <w:t xml:space="preserve"> privind crearea premizelor </w:t>
            </w:r>
            <w:r w:rsidRPr="00DD752E">
              <w:t xml:space="preserve"> pentru selectarea</w:t>
            </w:r>
            <w:r w:rsidR="00C46511" w:rsidRPr="00DD752E">
              <w:t xml:space="preserve"> și contractarea</w:t>
            </w:r>
            <w:r w:rsidRPr="00DD752E">
              <w:t xml:space="preserve"> pe bază de criterii transparente a categoriilor de proiecte care urmează a fi finanțate prin mix de resurse financiare în cadrul Programului Sănătate. </w:t>
            </w:r>
          </w:p>
          <w:p w14:paraId="14FCEE3C" w14:textId="77777777" w:rsidR="000B09E1" w:rsidRPr="00DD752E" w:rsidRDefault="000B09E1" w:rsidP="00DD752E">
            <w:pPr>
              <w:jc w:val="both"/>
            </w:pPr>
            <w:r w:rsidRPr="00DD752E">
              <w:t>În plus, categoriile de măsuri necesare pentru implementarea proiectelor de infrastructură de sănătate publică vor viza atât descentralizarea implementării proiectelor de infrastructură și implementarea acestora în principal prin implicarea autoritățile publice locale, dar și implicarea, dacă este cazul, a Agențiilor de Dezvoltare Regională în sistemul de management și control al programului pentru această tipologie de investiții pentru a asigura o cât mai bună implementare a proiectelor de infrastructură de sănătate, dar și o monitorizare atentă a acestora pentru a putea evita riscul de pierdere a fondurilor publice alocate prin program.</w:t>
            </w:r>
          </w:p>
          <w:p w14:paraId="1ECD1062" w14:textId="09BA59FE" w:rsidR="000B09E1" w:rsidRPr="00DD752E" w:rsidRDefault="000B09E1" w:rsidP="00DD752E">
            <w:pPr>
              <w:autoSpaceDE w:val="0"/>
              <w:autoSpaceDN w:val="0"/>
              <w:adjustRightInd w:val="0"/>
              <w:jc w:val="both"/>
              <w:rPr>
                <w:bCs/>
                <w:lang w:eastAsia="ro-RO"/>
              </w:rPr>
            </w:pPr>
            <w:r w:rsidRPr="00DD752E">
              <w:rPr>
                <w:bCs/>
                <w:lang w:eastAsia="ro-RO"/>
              </w:rPr>
              <w:t xml:space="preserve">Prezentul act normativ </w:t>
            </w:r>
            <w:r w:rsidR="008B67F8" w:rsidRPr="00DD752E">
              <w:t xml:space="preserve">stabilește cadrul necesar pentru metodologia și criteriile de selecție pentru proiectele de investiții publice pentru care urmează a se încheia contracte de finanțare în conformitate cu regulile de finanțare stabilite prin Ghidurile Solicitantului de către Autoritatea de Management pentru Programul </w:t>
            </w:r>
            <w:r w:rsidR="002510E7" w:rsidRPr="00DD752E">
              <w:t xml:space="preserve">Operațional </w:t>
            </w:r>
            <w:r w:rsidR="008B67F8" w:rsidRPr="00DD752E">
              <w:t>Sănătate</w:t>
            </w:r>
            <w:r w:rsidR="006A05D1" w:rsidRPr="00DD752E">
              <w:t xml:space="preserve">, asigurand </w:t>
            </w:r>
            <w:r w:rsidR="006A05D1" w:rsidRPr="00DD752E">
              <w:rPr>
                <w:bCs/>
                <w:lang w:eastAsia="ro-RO"/>
              </w:rPr>
              <w:t xml:space="preserve">astfel premisele demarării si implementării proiectelor de infrastructura de sănătate publica de interes public si implementarea acestora prin implicarea autorităților publice locale. </w:t>
            </w:r>
          </w:p>
          <w:p w14:paraId="33B8FC49" w14:textId="7D382448" w:rsidR="00A93B49" w:rsidRPr="00DD752E" w:rsidRDefault="000B09E1" w:rsidP="00DD752E">
            <w:pPr>
              <w:jc w:val="both"/>
            </w:pPr>
            <w:r w:rsidRPr="00DD752E">
              <w:rPr>
                <w:rFonts w:eastAsia="Calibri"/>
              </w:rPr>
              <w:t xml:space="preserve">În aceste condiții, elementele menționate mai sus vizează interesul public, iar pentru a evita riscul de pierdere a fondurilor externe nerambursabile alocate prin Programul Sănătate sunt necesare măsuri care reprezintă o urgență pentru Guvernul României, a cărei reglementare nu poate fi amânată, și, prin urmare, </w:t>
            </w:r>
            <w:r w:rsidRPr="00DD752E">
              <w:t>se impune adoptarea de măsuri imediate pe calea ordonanței de urgență.</w:t>
            </w:r>
          </w:p>
          <w:p w14:paraId="3A2EA3A1" w14:textId="4432E9A2" w:rsidR="000776D2" w:rsidRPr="00DD752E" w:rsidRDefault="006A05D1" w:rsidP="00DD752E">
            <w:pPr>
              <w:jc w:val="both"/>
            </w:pPr>
            <w:r w:rsidRPr="00DD752E">
              <w:t>De asemenea</w:t>
            </w:r>
            <w:r w:rsidR="00977055" w:rsidRPr="00DD752E">
              <w:t xml:space="preserve">, investițiile in unitățile spitalicești sunt proiecte de infrastructura care necesita o perioada mai mare de timp astfel încât este </w:t>
            </w:r>
            <w:r w:rsidR="0096111A" w:rsidRPr="00DD752E">
              <w:t>imperios</w:t>
            </w:r>
            <w:r w:rsidR="00977055" w:rsidRPr="00DD752E">
              <w:t xml:space="preserve"> ca semnarea contractelor de finanțare sa fie </w:t>
            </w:r>
            <w:r w:rsidR="00C46511" w:rsidRPr="00DD752E">
              <w:t>realizate</w:t>
            </w:r>
            <w:r w:rsidR="00977055" w:rsidRPr="00DD752E">
              <w:t xml:space="preserve"> p</w:t>
            </w:r>
            <w:r w:rsidR="00C46511" w:rsidRPr="00DD752E">
              <w:t>ână</w:t>
            </w:r>
            <w:r w:rsidR="00977055" w:rsidRPr="00DD752E">
              <w:t xml:space="preserve"> la sfârșitul anului 2023. Astfel, aprobarea ordonanței de urgența creează premisele demarării mecanismelor de selecție si contractare a proiectelor prin</w:t>
            </w:r>
            <w:r w:rsidR="00DC023B" w:rsidRPr="00DD752E">
              <w:rPr>
                <w:rFonts w:eastAsia="Calibri"/>
              </w:rPr>
              <w:t xml:space="preserve"> instituirea unui cadru general pentru </w:t>
            </w:r>
            <w:r w:rsidR="000776D2" w:rsidRPr="00DD752E">
              <w:t xml:space="preserve">asigurarea cofinanțării din împrumuturi </w:t>
            </w:r>
            <w:r w:rsidR="000776D2" w:rsidRPr="00DD752E">
              <w:lastRenderedPageBreak/>
              <w:t>publice contractate conform legii pentru proiectele de infrastructuri spitalicești implementate prin Programul Sănătate cu Instituțiile Financiare Internaționale.</w:t>
            </w:r>
          </w:p>
          <w:p w14:paraId="6BCF5BE6" w14:textId="324FA2A6" w:rsidR="00DC023B" w:rsidRPr="00DD752E" w:rsidRDefault="00DC023B" w:rsidP="00DD752E">
            <w:pPr>
              <w:jc w:val="both"/>
              <w:rPr>
                <w:rFonts w:eastAsia="Calibri"/>
              </w:rPr>
            </w:pPr>
            <w:r w:rsidRPr="00DD752E">
              <w:rPr>
                <w:rFonts w:eastAsia="Calibri"/>
              </w:rPr>
              <w:t xml:space="preserve">Urgența adoptării prezentului proiect este determinată </w:t>
            </w:r>
            <w:r w:rsidR="00C46511" w:rsidRPr="00DD752E">
              <w:rPr>
                <w:rFonts w:eastAsia="Calibri"/>
              </w:rPr>
              <w:t xml:space="preserve">și </w:t>
            </w:r>
            <w:r w:rsidRPr="00DD752E">
              <w:rPr>
                <w:rFonts w:eastAsia="Calibri"/>
              </w:rPr>
              <w:t>de necesitatea asigurării cofinanțării din împrumuturi publice contractate conform legii pentru implementarea unui număr cât mai mare de proiecte din domeniul sănătății, contribuind astfel la creșterea eficacității clinice la nivelul spitalelor, acces sporit al populației din regiune la servicii medicale, inclusiv al grupurilor vulnerabile, reducerea mortalității evitabile în regiune, creșterea calității vieții în regiune.</w:t>
            </w:r>
          </w:p>
          <w:p w14:paraId="7DE8B631" w14:textId="6DD4D990" w:rsidR="00DC023B" w:rsidRPr="00DD752E" w:rsidRDefault="00DC023B" w:rsidP="00DD752E">
            <w:pPr>
              <w:jc w:val="both"/>
              <w:rPr>
                <w:rFonts w:eastAsia="Calibri"/>
              </w:rPr>
            </w:pPr>
            <w:r w:rsidRPr="00DD752E">
              <w:rPr>
                <w:rFonts w:eastAsia="Calibri"/>
              </w:rPr>
              <w:t>În lipsa unor măsuri concrete și rapide pentru asigurării cofinanțării din împrumuturi publice contractate conform legii, există riscul exercitării unei presiuni din ce în ce mai mari asupra bugetului general consolidat al statului.</w:t>
            </w:r>
          </w:p>
          <w:p w14:paraId="4D7043FF" w14:textId="3FE59CC2" w:rsidR="007B47E1" w:rsidRPr="00DD752E" w:rsidRDefault="00C46511" w:rsidP="00DD752E">
            <w:pPr>
              <w:autoSpaceDE w:val="0"/>
              <w:autoSpaceDN w:val="0"/>
              <w:adjustRightInd w:val="0"/>
              <w:jc w:val="both"/>
              <w:rPr>
                <w:bCs/>
                <w:lang w:eastAsia="ro-RO"/>
              </w:rPr>
            </w:pPr>
            <w:r w:rsidRPr="00DD752E">
              <w:rPr>
                <w:bCs/>
                <w:iCs/>
                <w:lang w:eastAsia="ro-RO"/>
              </w:rPr>
              <w:t>A</w:t>
            </w:r>
            <w:r w:rsidR="007B47E1" w:rsidRPr="00DD752E">
              <w:rPr>
                <w:bCs/>
                <w:iCs/>
                <w:lang w:eastAsia="ro-RO"/>
              </w:rPr>
              <w:t xml:space="preserve">vând în vedere că elementele mai sus-menţionate vizează interesul public și strategic, </w:t>
            </w:r>
            <w:r w:rsidR="005F3A79" w:rsidRPr="00DD752E">
              <w:rPr>
                <w:bCs/>
                <w:iCs/>
                <w:lang w:eastAsia="ro-RO"/>
              </w:rPr>
              <w:t xml:space="preserve">coroborat cu faptul că acestea </w:t>
            </w:r>
            <w:r w:rsidR="007B47E1" w:rsidRPr="00DD752E">
              <w:rPr>
                <w:bCs/>
                <w:iCs/>
                <w:lang w:eastAsia="ro-RO"/>
              </w:rPr>
              <w:t>sunt o prioritate a Programului de guvernare și constituie o situație de urgență și extraordinară, a cărei reglementare nu poate fi amânată, astfel că o eventuală legiferare, pe altă cale decât delegarea legislativă, nu ar fi de natură să înlăture de îndată consecințele negative identificate.</w:t>
            </w:r>
          </w:p>
          <w:p w14:paraId="4238D1EB" w14:textId="6C9C80CD" w:rsidR="00223491" w:rsidRPr="00DD752E" w:rsidRDefault="00223491" w:rsidP="00DD752E">
            <w:pPr>
              <w:autoSpaceDE w:val="0"/>
              <w:autoSpaceDN w:val="0"/>
              <w:adjustRightInd w:val="0"/>
              <w:jc w:val="both"/>
              <w:rPr>
                <w:b/>
                <w:lang w:eastAsia="ro-RO"/>
              </w:rPr>
            </w:pPr>
            <w:r w:rsidRPr="00DD752E">
              <w:rPr>
                <w:b/>
                <w:lang w:eastAsia="ro-RO"/>
              </w:rPr>
              <w:t>2.3 Schimbări preconizate</w:t>
            </w:r>
          </w:p>
          <w:p w14:paraId="2522E65C" w14:textId="4D1B0B1D" w:rsidR="00DC023B" w:rsidRPr="00DD752E" w:rsidRDefault="00DC023B" w:rsidP="00DD752E">
            <w:pPr>
              <w:autoSpaceDE w:val="0"/>
              <w:autoSpaceDN w:val="0"/>
              <w:adjustRightInd w:val="0"/>
              <w:jc w:val="both"/>
            </w:pPr>
            <w:r w:rsidRPr="00DD752E">
              <w:t xml:space="preserve">Prezenta ordonanță de urgență reglementează </w:t>
            </w:r>
            <w:r w:rsidR="005F3A79" w:rsidRPr="00DD752E">
              <w:t>măsurile necesare implementării proiectelor de infrastructură publică de sănătate cu finanțare din fonduri externe nerambursabile în cadrul Programului Sănătate și din împrumuturi contractate cu Instituțiile Financiare Internaționale</w:t>
            </w:r>
            <w:r w:rsidR="008703CE" w:rsidRPr="00DD752E">
              <w:t xml:space="preserve">, </w:t>
            </w:r>
            <w:r w:rsidR="008703CE" w:rsidRPr="00DD752E">
              <w:rPr>
                <w:bCs/>
                <w:lang w:eastAsia="ro-RO"/>
              </w:rPr>
              <w:t>prin stabilirea unui</w:t>
            </w:r>
            <w:r w:rsidR="008703CE" w:rsidRPr="00DD752E">
              <w:t xml:space="preserve"> cadrul necesar pentru metodologia și criteriile de selecție pentru proiectele de investiții publice pentru care urmează a se încheia contracte de finanțare în conformitate cu regulile de finanțare stabilite prin Ghidurile Solicitantului de către Autoritatea de Management pentru Programul </w:t>
            </w:r>
            <w:r w:rsidR="002510E7" w:rsidRPr="00DD752E">
              <w:t xml:space="preserve">Operațional </w:t>
            </w:r>
            <w:r w:rsidR="008703CE" w:rsidRPr="00DD752E">
              <w:t>Sănătate.</w:t>
            </w:r>
          </w:p>
          <w:p w14:paraId="3CE0DC3D" w14:textId="70D6F84A" w:rsidR="008B67F8" w:rsidRPr="00DD752E" w:rsidRDefault="00546469" w:rsidP="00DD752E">
            <w:pPr>
              <w:autoSpaceDE w:val="0"/>
              <w:autoSpaceDN w:val="0"/>
              <w:adjustRightInd w:val="0"/>
              <w:jc w:val="both"/>
              <w:rPr>
                <w:bCs/>
                <w:lang w:eastAsia="ro-RO"/>
              </w:rPr>
            </w:pPr>
            <w:r w:rsidRPr="00DD752E">
              <w:rPr>
                <w:color w:val="000000"/>
                <w:bdr w:val="none" w:sz="0" w:space="0" w:color="auto" w:frame="1"/>
                <w:shd w:val="clear" w:color="auto" w:fill="FFFFFF"/>
                <w:lang w:eastAsia="ro-RO"/>
              </w:rPr>
              <w:t xml:space="preserve">Prin </w:t>
            </w:r>
            <w:r w:rsidRPr="00DD752E">
              <w:rPr>
                <w:color w:val="000000" w:themeColor="text1"/>
              </w:rPr>
              <w:t>ordonanța de urgență propusă vor fi reglementate următoarele aspecte:</w:t>
            </w:r>
          </w:p>
          <w:p w14:paraId="775628F9" w14:textId="77777777" w:rsidR="00DD752E" w:rsidRDefault="00DD752E" w:rsidP="00DD752E">
            <w:pPr>
              <w:pStyle w:val="ListParagraph"/>
              <w:numPr>
                <w:ilvl w:val="0"/>
                <w:numId w:val="22"/>
              </w:numPr>
              <w:jc w:val="both"/>
              <w:rPr>
                <w:rFonts w:ascii="Times New Roman" w:hAnsi="Times New Roman" w:cs="Times New Roman"/>
              </w:rPr>
            </w:pPr>
            <w:r w:rsidRPr="00DD752E">
              <w:rPr>
                <w:rFonts w:ascii="Times New Roman" w:hAnsi="Times New Roman" w:cs="Times New Roman"/>
              </w:rPr>
              <w:t>cadrul general privind metodologia și criteriile de selecție pentru proiectele de investiții publice din domeniul sănătății finantate din asistenta financiara nerambursabila și din împrumuturi contractate cu Instituțiile Financiare Internaționale, pentru care urmează a se încheia contracte de finanțare în conformitate cu regulile de finanțare stabilite prin Ghidurile Solicitantului de către Autoritatea de Management pentru Programul Operațional Sănătate.</w:t>
            </w:r>
            <w:bookmarkStart w:id="3" w:name="_Hlk126588643"/>
            <w:bookmarkStart w:id="4" w:name="_Hlk126575717"/>
          </w:p>
          <w:p w14:paraId="35224EA2" w14:textId="07C04CFD" w:rsidR="009A072C" w:rsidRPr="00DD752E" w:rsidRDefault="009A072C" w:rsidP="00DD752E">
            <w:pPr>
              <w:pStyle w:val="ListParagraph"/>
              <w:numPr>
                <w:ilvl w:val="0"/>
                <w:numId w:val="22"/>
              </w:numPr>
              <w:jc w:val="both"/>
              <w:rPr>
                <w:rFonts w:ascii="Times New Roman" w:hAnsi="Times New Roman" w:cs="Times New Roman"/>
              </w:rPr>
            </w:pPr>
            <w:r w:rsidRPr="00DD752E">
              <w:rPr>
                <w:rFonts w:ascii="Times New Roman" w:hAnsi="Times New Roman" w:cs="Times New Roman"/>
              </w:rPr>
              <w:t>Asistenta financiare rambursabila pentru asigurarea cofinanțării proiectelor de infrastructură de sănătate este contractata de către Statul Român prin Ministerul Finanțelor  cu respectarea prevederilor legale privind datoria publică și este destinata asigurării cofinanțării la valoarea stabilită prin Decizia de punere în aplicare a Comisiei nr. 8934 din data de 30 noiembrie 2022 de aprobare a programului „Sănătate” pentru sprijin din partea Fondului european de dezvoltare regională și Fondului social european Plus în cadrul obiectivului „Investiții pentru ocuparea forței de muncă și creștere economică” din RomâniaComisiei Europene nr. 8934/30.11.2022  de aprobare a Programului Sănătate, care nu poate depăși valoarea maximă de 3 mld. Euro</w:t>
            </w:r>
          </w:p>
          <w:p w14:paraId="4D6D42CA" w14:textId="29C0EEA7" w:rsidR="009A072C" w:rsidRPr="00DD752E" w:rsidRDefault="009A072C" w:rsidP="00DD752E">
            <w:pPr>
              <w:pStyle w:val="ListParagraph"/>
              <w:numPr>
                <w:ilvl w:val="0"/>
                <w:numId w:val="22"/>
              </w:numPr>
              <w:jc w:val="both"/>
              <w:rPr>
                <w:rFonts w:ascii="Times New Roman" w:hAnsi="Times New Roman" w:cs="Times New Roman"/>
              </w:rPr>
            </w:pPr>
            <w:r w:rsidRPr="00DD752E">
              <w:rPr>
                <w:rFonts w:ascii="Times New Roman" w:hAnsi="Times New Roman" w:cs="Times New Roman"/>
              </w:rPr>
              <w:t>Asistenta financiare rambursabila Împrumutul public se aprobă potrivit prevederilor legale în vigoare privind datoria publică și se utilizează pentru proiectele</w:t>
            </w:r>
            <w:r w:rsidR="00A64775" w:rsidRPr="00DD752E">
              <w:rPr>
                <w:rFonts w:ascii="Times New Roman" w:hAnsi="Times New Roman" w:cs="Times New Roman"/>
              </w:rPr>
              <w:t xml:space="preserve"> </w:t>
            </w:r>
            <w:r w:rsidRPr="00DD752E">
              <w:rPr>
                <w:rFonts w:ascii="Times New Roman" w:hAnsi="Times New Roman" w:cs="Times New Roman"/>
              </w:rPr>
              <w:t>de investiții specifice acțiunii B - Investiții de mică amploare în infrastructura publică a spitalelor mici, orășenești și municipale aferente Priorității 2 și acțiunii B - Investiții în infrastructuri spitalicești noi: spitale județene/ județene de urgență; spitale monospecialitate aferente Priorității 4 din Programul Sănătate.;</w:t>
            </w:r>
            <w:bookmarkStart w:id="5" w:name="_Hlk126588699"/>
            <w:bookmarkEnd w:id="3"/>
            <w:bookmarkEnd w:id="4"/>
          </w:p>
          <w:p w14:paraId="0CFD51C4" w14:textId="566C4704" w:rsidR="00A02806" w:rsidRPr="00DD752E" w:rsidRDefault="00ED2C58" w:rsidP="00DD752E">
            <w:pPr>
              <w:pStyle w:val="ListParagraph"/>
              <w:numPr>
                <w:ilvl w:val="0"/>
                <w:numId w:val="22"/>
              </w:numPr>
              <w:jc w:val="both"/>
              <w:rPr>
                <w:rFonts w:ascii="Times New Roman" w:hAnsi="Times New Roman" w:cs="Times New Roman"/>
              </w:rPr>
            </w:pPr>
            <w:r w:rsidRPr="00DD752E">
              <w:rPr>
                <w:rFonts w:ascii="Times New Roman" w:hAnsi="Times New Roman" w:cs="Times New Roman"/>
              </w:rPr>
              <w:t xml:space="preserve">Valoarea eligibilă finanțată din Programul Sănătate aferentă unui proiect de investiții specific pentru acțiunea B, Prioritatea 4 din Programul Sănătate: Investiții în infrastructuri spitalicești noi: spitale județene/ județene de urgență; spitale monospecialitate -  unități sanitare cu paturi este de minim 5 milioane euro și </w:t>
            </w:r>
            <w:r w:rsidRPr="00C91C9A">
              <w:rPr>
                <w:rFonts w:ascii="Times New Roman" w:hAnsi="Times New Roman" w:cs="Times New Roman"/>
              </w:rPr>
              <w:t xml:space="preserve">maxim </w:t>
            </w:r>
            <w:r w:rsidR="00485520" w:rsidRPr="00C91C9A">
              <w:rPr>
                <w:rFonts w:ascii="Times New Roman" w:hAnsi="Times New Roman" w:cs="Times New Roman"/>
              </w:rPr>
              <w:t>5</w:t>
            </w:r>
            <w:r w:rsidRPr="00C91C9A">
              <w:rPr>
                <w:rFonts w:ascii="Times New Roman" w:hAnsi="Times New Roman" w:cs="Times New Roman"/>
              </w:rPr>
              <w:t>00 milioane euro care includ:</w:t>
            </w:r>
          </w:p>
          <w:p w14:paraId="35AF4804" w14:textId="1570075F" w:rsidR="002073C4" w:rsidRPr="00DD752E" w:rsidRDefault="002073C4" w:rsidP="00DD752E">
            <w:pPr>
              <w:pStyle w:val="ListParagraph"/>
              <w:jc w:val="both"/>
              <w:rPr>
                <w:rFonts w:ascii="Times New Roman" w:hAnsi="Times New Roman" w:cs="Times New Roman"/>
                <w:iCs/>
              </w:rPr>
            </w:pPr>
            <w:r w:rsidRPr="00DD752E">
              <w:rPr>
                <w:rFonts w:ascii="Times New Roman" w:hAnsi="Times New Roman" w:cs="Times New Roman"/>
                <w:iCs/>
              </w:rPr>
              <w:t>a) lucrări de extindere pentru clădiri, inclusiv lucrări de conectare la clădiri existente și dotare cu echipamente medicale specifice, inclusiv măsuri de tranziție verde și digitalizare;</w:t>
            </w:r>
          </w:p>
          <w:p w14:paraId="799D42FE" w14:textId="77777777" w:rsidR="002073C4" w:rsidRPr="00DD752E" w:rsidRDefault="002073C4" w:rsidP="00DD752E">
            <w:pPr>
              <w:pStyle w:val="ListParagraph"/>
              <w:jc w:val="both"/>
              <w:rPr>
                <w:rFonts w:ascii="Times New Roman" w:hAnsi="Times New Roman" w:cs="Times New Roman"/>
                <w:iCs/>
              </w:rPr>
            </w:pPr>
            <w:r w:rsidRPr="00DD752E">
              <w:rPr>
                <w:rFonts w:ascii="Times New Roman" w:hAnsi="Times New Roman" w:cs="Times New Roman"/>
                <w:iCs/>
              </w:rPr>
              <w:t xml:space="preserve">b) lucrări de construcții noi,  inclusiv dotarea cu echipamente medicale specifice inclusiv măsuri de tranziție verde și digitalizare; </w:t>
            </w:r>
          </w:p>
          <w:p w14:paraId="37988619" w14:textId="16F9FB2A" w:rsidR="00757C45" w:rsidRPr="00DD752E" w:rsidRDefault="002073C4" w:rsidP="00DD752E">
            <w:pPr>
              <w:pStyle w:val="ListParagraph"/>
              <w:jc w:val="both"/>
              <w:rPr>
                <w:rFonts w:ascii="Times New Roman" w:hAnsi="Times New Roman" w:cs="Times New Roman"/>
                <w:iCs/>
              </w:rPr>
            </w:pPr>
            <w:r w:rsidRPr="00DD752E">
              <w:rPr>
                <w:rFonts w:ascii="Times New Roman" w:hAnsi="Times New Roman" w:cs="Times New Roman"/>
              </w:rPr>
              <w:t xml:space="preserve">- </w:t>
            </w:r>
            <w:r w:rsidR="00DC023B" w:rsidRPr="00DD752E">
              <w:rPr>
                <w:rFonts w:ascii="Times New Roman" w:hAnsi="Times New Roman" w:cs="Times New Roman"/>
              </w:rPr>
              <w:t xml:space="preserve">Valoarea eligibilă finanțată din Programul Sănătate aferentă unui proiect de investiții specific pentru acțiunea B, Prioritatea 2 - Investiții de mică amploare în infrastructura publică a spitalelor </w:t>
            </w:r>
            <w:r w:rsidR="00DC023B" w:rsidRPr="00DD752E">
              <w:rPr>
                <w:rFonts w:ascii="Times New Roman" w:hAnsi="Times New Roman" w:cs="Times New Roman"/>
              </w:rPr>
              <w:lastRenderedPageBreak/>
              <w:t>mici, orășenești și municipale</w:t>
            </w:r>
            <w:r w:rsidR="00ED2C58" w:rsidRPr="00DD752E">
              <w:rPr>
                <w:rFonts w:ascii="Times New Roman" w:hAnsi="Times New Roman" w:cs="Times New Roman"/>
              </w:rPr>
              <w:t>– unități sanitare cu paturi</w:t>
            </w:r>
            <w:r w:rsidR="00DC023B" w:rsidRPr="00DD752E">
              <w:rPr>
                <w:rFonts w:ascii="Times New Roman" w:hAnsi="Times New Roman" w:cs="Times New Roman"/>
              </w:rPr>
              <w:t xml:space="preserve"> este detaliată pe categorii de investiții specifice după cum urmează:</w:t>
            </w:r>
          </w:p>
          <w:p w14:paraId="480288D4" w14:textId="77777777" w:rsidR="002C72B2" w:rsidRPr="00DD752E" w:rsidRDefault="002C72B2" w:rsidP="00DD752E">
            <w:pPr>
              <w:jc w:val="both"/>
              <w:rPr>
                <w:iCs/>
              </w:rPr>
            </w:pPr>
            <w:r w:rsidRPr="00DD752E">
              <w:rPr>
                <w:iCs/>
              </w:rPr>
              <w:t>a) lucrări de modernizare/reabilitare și dotare, extindere la construcțiile existente, inclusiv lucrări de conectare la clădiri existente, lucrări de construcții noi și dotare, minim 5 milioane euro și maxim 75 milioane euro pentru unitățile sanitare cu paturi municipale;</w:t>
            </w:r>
          </w:p>
          <w:p w14:paraId="267C01AD" w14:textId="77777777" w:rsidR="002C72B2" w:rsidRPr="00DD752E" w:rsidRDefault="002C72B2" w:rsidP="00DD752E">
            <w:pPr>
              <w:jc w:val="both"/>
              <w:rPr>
                <w:iCs/>
              </w:rPr>
            </w:pPr>
            <w:r w:rsidRPr="00DD752E">
              <w:rPr>
                <w:iCs/>
              </w:rPr>
              <w:t>b) lucrări de modernizare/reabilitare și dotare, extindere la construcțiile existente, inclusiv lucrări de conectare la clădiri existente, lucrări de construcții noi și dotare, minim 5 milioane euro și maxim 45 milioane euro pentru unitățile sanitare cu paturi orășenești;</w:t>
            </w:r>
            <w:bookmarkEnd w:id="5"/>
          </w:p>
          <w:p w14:paraId="12954187" w14:textId="47B60CE2" w:rsidR="00A02806" w:rsidRPr="00DD752E" w:rsidRDefault="00A02806" w:rsidP="00DD752E">
            <w:pPr>
              <w:pStyle w:val="ListParagraph"/>
              <w:numPr>
                <w:ilvl w:val="0"/>
                <w:numId w:val="29"/>
              </w:numPr>
              <w:ind w:left="787"/>
              <w:jc w:val="both"/>
              <w:rPr>
                <w:rFonts w:ascii="Times New Roman" w:hAnsi="Times New Roman" w:cs="Times New Roman"/>
                <w:iCs/>
              </w:rPr>
            </w:pPr>
            <w:r w:rsidRPr="00DD752E">
              <w:rPr>
                <w:rFonts w:ascii="Times New Roman" w:hAnsi="Times New Roman" w:cs="Times New Roman"/>
                <w:iCs/>
              </w:rPr>
              <w:t>Valoarea totală a proiectelor poate include cofinanțarea beneficiarilor și/sau după caz cheltuieli neeligibile finanțate din surse proprii sau din alte fonduri alocate potrivit legii inclusiv din alte împrumuturi bancare contractate în nume proprii, cu respectarea legislației privind datoria publică. În vederea finalizării proiectelor, valoarea totală a acestora poate fi actualizată ca urmare a creșterii prețurilor la materiale și/sau la utilitățile publice dacă prin lege se prevede astfel sau majorată în limita unui procent de maxim 20%. Valoarea contractelor de finanțare se modifică în mod corespunzător;</w:t>
            </w:r>
          </w:p>
          <w:p w14:paraId="1A861CA0" w14:textId="275E299B" w:rsidR="00DD752E" w:rsidRPr="00DD752E" w:rsidRDefault="00A02806"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rPr>
              <w:t>Valoarea totală a bugetului contractului de finanțare poate fi actualizată în funcție de stadiul de implementare și de disponibilitatea fondurilor alocate</w:t>
            </w:r>
            <w:r w:rsidR="00DD752E">
              <w:rPr>
                <w:rFonts w:ascii="Times New Roman" w:hAnsi="Times New Roman" w:cs="Times New Roman"/>
              </w:rPr>
              <w:t>.</w:t>
            </w:r>
          </w:p>
          <w:p w14:paraId="63CFCADB" w14:textId="522E8875" w:rsidR="00A02806" w:rsidRPr="00DD752E" w:rsidRDefault="00A02806"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rPr>
              <w:t>Modificarea contractelor de finanțare, in vederea evitării de</w:t>
            </w:r>
            <w:r w:rsidR="009366E2" w:rsidRPr="00DD752E">
              <w:rPr>
                <w:rFonts w:ascii="Times New Roman" w:hAnsi="Times New Roman" w:cs="Times New Roman"/>
              </w:rPr>
              <w:t>zangajarii</w:t>
            </w:r>
            <w:r w:rsidRPr="00DD752E">
              <w:rPr>
                <w:rFonts w:ascii="Times New Roman" w:hAnsi="Times New Roman" w:cs="Times New Roman"/>
              </w:rPr>
              <w:t xml:space="preserve"> cât și pentru atingerea indicatorilor de program și pentru finalizarea proiectelor</w:t>
            </w:r>
            <w:r w:rsidR="00DD752E">
              <w:rPr>
                <w:rFonts w:ascii="Times New Roman" w:hAnsi="Times New Roman" w:cs="Times New Roman"/>
              </w:rPr>
              <w:t>.</w:t>
            </w:r>
          </w:p>
          <w:p w14:paraId="058DE917" w14:textId="4FB78E1E" w:rsidR="00655A72" w:rsidRPr="00DD752E" w:rsidRDefault="00DC023B"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iCs/>
              </w:rPr>
              <w:t>Solicitanții eligibili în cadrul apelurilor de selecție de proiecte</w:t>
            </w:r>
            <w:r w:rsidR="00DD752E">
              <w:rPr>
                <w:rFonts w:ascii="Times New Roman" w:hAnsi="Times New Roman" w:cs="Times New Roman"/>
                <w:iCs/>
              </w:rPr>
              <w:t>.</w:t>
            </w:r>
          </w:p>
          <w:p w14:paraId="6A74BE9F" w14:textId="07555126" w:rsidR="00A02806" w:rsidRPr="00DD752E" w:rsidRDefault="00A02806"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iCs/>
              </w:rPr>
              <w:t>Criteriile-cadru de selecție pentru stabilirea eligibilității precum și pentru evaluarea tehnico-financiară</w:t>
            </w:r>
            <w:r w:rsidR="006803BF" w:rsidRPr="00DD752E">
              <w:rPr>
                <w:rFonts w:ascii="Times New Roman" w:hAnsi="Times New Roman" w:cs="Times New Roman"/>
                <w:iCs/>
              </w:rPr>
              <w:t>;</w:t>
            </w:r>
          </w:p>
          <w:p w14:paraId="7AC8FF36" w14:textId="2594607C" w:rsidR="00655A72" w:rsidRPr="00DD752E" w:rsidRDefault="00DC023B" w:rsidP="00DD752E">
            <w:pPr>
              <w:pStyle w:val="ListParagraph"/>
              <w:numPr>
                <w:ilvl w:val="0"/>
                <w:numId w:val="23"/>
              </w:numPr>
              <w:jc w:val="both"/>
              <w:rPr>
                <w:rFonts w:ascii="Times New Roman" w:hAnsi="Times New Roman" w:cs="Times New Roman"/>
                <w:iCs/>
              </w:rPr>
            </w:pPr>
            <w:bookmarkStart w:id="6" w:name="_Hlk126590492"/>
            <w:bookmarkStart w:id="7" w:name="_Hlk126591202"/>
            <w:r w:rsidRPr="00DD752E">
              <w:rPr>
                <w:rFonts w:ascii="Times New Roman" w:hAnsi="Times New Roman" w:cs="Times New Roman"/>
              </w:rPr>
              <w:t>Beneficiarii proiectelor de infrastructură de sănătate selectate la finanțare în cadrul apelurilor de selecție care fac obiectul prezentei ordonanțe de urgență asigura o contribuție proprie în cuantum de minim 2% din valoarea totală eligibilă a proiectului, precum și  acoperirea diferenței de finanțare pentru proiectele a căror valoare totală depășește limitele prevăzute</w:t>
            </w:r>
            <w:r w:rsidR="006803BF" w:rsidRPr="00DD752E">
              <w:rPr>
                <w:rFonts w:ascii="Times New Roman" w:hAnsi="Times New Roman" w:cs="Times New Roman"/>
              </w:rPr>
              <w:t>;</w:t>
            </w:r>
          </w:p>
          <w:p w14:paraId="192CE69A" w14:textId="50893A8E" w:rsidR="002073C4" w:rsidRPr="00DD752E" w:rsidRDefault="002073C4"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iCs/>
              </w:rPr>
              <w:t>Proiectele de investiții publice în infrastructura de sănătate care nu dețin avizul Ministerului Sănătății nu sunt eligibile la finanțare din fonduri alocate prin Programul Sănătate;</w:t>
            </w:r>
          </w:p>
          <w:bookmarkEnd w:id="6"/>
          <w:bookmarkEnd w:id="7"/>
          <w:p w14:paraId="3026498B" w14:textId="4E8A2515" w:rsidR="009366E2" w:rsidRPr="00DD752E" w:rsidRDefault="00ED2C58"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rPr>
              <w:t xml:space="preserve">Lista proiectelor selectate la finanțare prin Programul Sănătate </w:t>
            </w:r>
            <w:r w:rsidR="004C38FE" w:rsidRPr="00DD752E">
              <w:rPr>
                <w:rFonts w:ascii="Times New Roman" w:hAnsi="Times New Roman" w:cs="Times New Roman"/>
              </w:rPr>
              <w:t xml:space="preserve">de catre MIPE </w:t>
            </w:r>
            <w:r w:rsidRPr="00DD752E">
              <w:rPr>
                <w:rFonts w:ascii="Times New Roman" w:hAnsi="Times New Roman" w:cs="Times New Roman"/>
              </w:rPr>
              <w:t xml:space="preserve">se aprobă prin Hotărâre a Guvernului României după finalizarea procesului </w:t>
            </w:r>
            <w:r w:rsidR="004C38FE" w:rsidRPr="00DD752E">
              <w:rPr>
                <w:rFonts w:ascii="Times New Roman" w:hAnsi="Times New Roman" w:cs="Times New Roman"/>
              </w:rPr>
              <w:t>de contractare</w:t>
            </w:r>
            <w:r w:rsidR="009366E2" w:rsidRPr="00DD752E">
              <w:rPr>
                <w:rFonts w:ascii="Times New Roman" w:hAnsi="Times New Roman" w:cs="Times New Roman"/>
              </w:rPr>
              <w:t>;</w:t>
            </w:r>
          </w:p>
          <w:p w14:paraId="664A2EA6" w14:textId="21C8D1D3" w:rsidR="00741A8A" w:rsidRPr="00DD752E" w:rsidRDefault="00741A8A"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iCs/>
              </w:rPr>
              <w:t>Pentru proiectele de infrastructură de sănătate selectate la finanțare, contractele de finanțare se încheie în conformitate cu prevederile legale în vigoare, cu respectarea procentelor de finanțare din fonduri externe nerambursabile și a celor din cofinanțarea națională care vor fi detaliate în Ghidurile solicitantului, cu încadrarea în ratele de cofinanțare pe regiuni de dezvoltare la nivelul priorităților vizate;</w:t>
            </w:r>
          </w:p>
          <w:p w14:paraId="62221D4E" w14:textId="0276F69D" w:rsidR="009366E2" w:rsidRPr="00DD752E" w:rsidRDefault="009366E2"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iCs/>
              </w:rPr>
              <w:t>Pentru proiectele de investiții situate în regiun</w:t>
            </w:r>
            <w:r w:rsidR="002510E7" w:rsidRPr="00DD752E">
              <w:rPr>
                <w:rFonts w:ascii="Times New Roman" w:hAnsi="Times New Roman" w:cs="Times New Roman"/>
                <w:iCs/>
              </w:rPr>
              <w:t xml:space="preserve">ea </w:t>
            </w:r>
            <w:r w:rsidRPr="00DD752E">
              <w:rPr>
                <w:rFonts w:ascii="Times New Roman" w:hAnsi="Times New Roman" w:cs="Times New Roman"/>
                <w:iCs/>
              </w:rPr>
              <w:t>dezvoltat</w:t>
            </w:r>
            <w:r w:rsidR="002510E7" w:rsidRPr="00DD752E">
              <w:rPr>
                <w:rFonts w:ascii="Times New Roman" w:hAnsi="Times New Roman" w:cs="Times New Roman"/>
                <w:iCs/>
              </w:rPr>
              <w:t>ă</w:t>
            </w:r>
            <w:r w:rsidRPr="00DD752E">
              <w:rPr>
                <w:rFonts w:ascii="Times New Roman" w:hAnsi="Times New Roman" w:cs="Times New Roman"/>
                <w:iCs/>
              </w:rPr>
              <w:t xml:space="preserve"> clasificată astfel potrivit legii, contractele de finanțare se încheie din fondurile alocate din împrumuturile publice contractate cu Instituțiile Financiare Internaționale fără alocarea de fonduri externe nerambursabile din Programul Sănătate, cu rata de cofinanțare publică și cofinanțare a beneficiarului respectiv cheltuieli neeligibile structurate în funcție de bugetul proiectului de investiții publice</w:t>
            </w:r>
            <w:r w:rsidR="002510E7" w:rsidRPr="00DD752E">
              <w:rPr>
                <w:rFonts w:ascii="Times New Roman" w:hAnsi="Times New Roman" w:cs="Times New Roman"/>
                <w:iCs/>
              </w:rPr>
              <w:t xml:space="preserve"> </w:t>
            </w:r>
          </w:p>
          <w:p w14:paraId="75546499" w14:textId="5FD189E9" w:rsidR="00655A72" w:rsidRPr="00DD752E" w:rsidRDefault="00DC023B"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rPr>
              <w:t xml:space="preserve">Creditele bugetare și de angajament necesare încheierii și implementării contractelor de finanțare se cuprind în bugetul ordonatorului principal de credite cu rol de Autoritate de Management pentru Programul </w:t>
            </w:r>
            <w:r w:rsidR="002510E7" w:rsidRPr="00DD752E">
              <w:rPr>
                <w:rFonts w:ascii="Times New Roman" w:hAnsi="Times New Roman" w:cs="Times New Roman"/>
              </w:rPr>
              <w:t>Operațional</w:t>
            </w:r>
            <w:r w:rsidRPr="00DD752E">
              <w:rPr>
                <w:rFonts w:ascii="Times New Roman" w:hAnsi="Times New Roman" w:cs="Times New Roman"/>
              </w:rPr>
              <w:t xml:space="preserve"> Sănătate pentru a asigura cofinanțarea necesară pentru implementarea proiectelor de infrastructură de sănătate;</w:t>
            </w:r>
          </w:p>
          <w:p w14:paraId="7DB791F7" w14:textId="7D3942D4" w:rsidR="009366E2" w:rsidRPr="00DD752E" w:rsidRDefault="009366E2"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iCs/>
              </w:rPr>
              <w:t>Pentru evitarea riscului de dezangajare din fondurile alocate din fonduri externe nerambursabile în cadrul Programului Sănătate, se autorizează la plată cu prioritate întreaga valoare a cheltuielilor prezentate la decontare din fondurile europene și contribuția națională cu prioritate, până la epuizarea acestora, urmând ca ulterior să se acceseze fondurile de la bugetul de stat asigurate prin împrumut de la IFI;</w:t>
            </w:r>
          </w:p>
          <w:p w14:paraId="0378B0DF" w14:textId="23A14A99" w:rsidR="00741A8A" w:rsidRPr="00DD752E" w:rsidRDefault="00741A8A"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rPr>
              <w:t xml:space="preserve">Nealocarea de fonduri din împrumuturile publice contractate cu Instituțiile Financiare Internaționale ca urmare a constrângerilor privind deficitul bugetare sau din alte motive pentru a asigura </w:t>
            </w:r>
            <w:r w:rsidRPr="00DD752E">
              <w:rPr>
                <w:rFonts w:ascii="Times New Roman" w:hAnsi="Times New Roman" w:cs="Times New Roman"/>
              </w:rPr>
              <w:lastRenderedPageBreak/>
              <w:t>continuarea implementării proiectelor de infrastructură de sănătate pentru care s-au încheiat contracte de finanțare în condițiile legii și/sau nefinalizarea acestora potrivit prevederilor legale în vigoare pentru proiectele cu finanțare din fonduri externe nerambursabile atrage după sine recuperarea sumelor autorizate la plată din fonduri externe nerambursabile în condițiile prevăzute de OUG nr. 66/2011 privind prevenirea, constatarea și sancționarea neregulilor apărute în obținerea și utilizarea fondurilor europene și/sau a fondurilor publice naționale aferente acestora;</w:t>
            </w:r>
          </w:p>
          <w:p w14:paraId="79E77BB8" w14:textId="77777777" w:rsidR="00741A8A" w:rsidRPr="00DD752E" w:rsidRDefault="00741A8A"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rPr>
              <w:t xml:space="preserve">Cheltuielile autorizate la plată din fonduri externe nerambursabile pentru proiectele de infrastructură de sănătate care nu sunt finalizate și/sau nu pot fi continuate ca urmare a imposibilității de alocare a fondurilor din împrumuturi publice contractate cu Instituțiile Financiare Internaționale sunt cheltuieli definitive ale bugetului de stat; </w:t>
            </w:r>
          </w:p>
          <w:p w14:paraId="613C7443" w14:textId="77777777" w:rsidR="005A6434" w:rsidRPr="00DD752E" w:rsidRDefault="00741A8A" w:rsidP="00DD752E">
            <w:pPr>
              <w:pStyle w:val="ListParagraph"/>
              <w:numPr>
                <w:ilvl w:val="0"/>
                <w:numId w:val="23"/>
              </w:numPr>
              <w:jc w:val="both"/>
              <w:rPr>
                <w:rFonts w:ascii="Times New Roman" w:hAnsi="Times New Roman" w:cs="Times New Roman"/>
                <w:iCs/>
              </w:rPr>
            </w:pPr>
            <w:r w:rsidRPr="00DD752E">
              <w:rPr>
                <w:rFonts w:ascii="Times New Roman" w:hAnsi="Times New Roman" w:cs="Times New Roman"/>
              </w:rPr>
              <w:t xml:space="preserve">Beneficiarii proiectelor cu finanțare din fonduri externe nerambursabilă precum și de împrumuturi contractate cu Instituțiile Financiare Internaționale sunt obligați să asigure sustenabilitatea operațională și financiară a proiectelor de investiții publice inclusiv eventualele lucrări de mentenanță și reparații curente după finalizarea implementării acestora </w:t>
            </w:r>
          </w:p>
          <w:p w14:paraId="0A1BD4D7" w14:textId="68BE2273" w:rsidR="00741A8A" w:rsidRPr="00DD752E" w:rsidRDefault="00741A8A" w:rsidP="00DD752E">
            <w:pPr>
              <w:pStyle w:val="ListParagraph"/>
              <w:jc w:val="both"/>
              <w:rPr>
                <w:rFonts w:ascii="Times New Roman" w:hAnsi="Times New Roman" w:cs="Times New Roman"/>
              </w:rPr>
            </w:pPr>
            <w:r w:rsidRPr="00DD752E">
              <w:rPr>
                <w:rFonts w:ascii="Times New Roman" w:hAnsi="Times New Roman" w:cs="Times New Roman"/>
              </w:rPr>
              <w:t>pentru o perioadă de cel puțin 5 ani</w:t>
            </w:r>
          </w:p>
          <w:p w14:paraId="7986D840" w14:textId="77777777" w:rsidR="005A6434" w:rsidRPr="00DD752E" w:rsidRDefault="005A6434" w:rsidP="00DD752E">
            <w:pPr>
              <w:pStyle w:val="ListParagraph"/>
              <w:jc w:val="both"/>
              <w:rPr>
                <w:rFonts w:ascii="Times New Roman" w:hAnsi="Times New Roman" w:cs="Times New Roman"/>
                <w:iCs/>
              </w:rPr>
            </w:pPr>
          </w:p>
          <w:p w14:paraId="3981F416" w14:textId="7A2340B2" w:rsidR="005A6434" w:rsidRPr="00DD752E" w:rsidRDefault="005A6434" w:rsidP="00DD752E">
            <w:pPr>
              <w:ind w:firstLine="708"/>
              <w:jc w:val="both"/>
            </w:pPr>
            <w:r w:rsidRPr="00DD752E">
              <w:t>Programul beneficiază de un buget total de 5,88 miliarde de euro, din care: infrastructura de sănătate, cercetare, digitalizare: 5,073 miliarde euro (FEDR, imprumut BEI și contribuție națională), precum si intervenții de tip FSE+: 806 milioane euro (FSE+ și contribuție națională).</w:t>
            </w:r>
            <w:r w:rsidR="00F0636C" w:rsidRPr="00DD752E">
              <w:t xml:space="preserve"> Alocarea totala pentru investițiile vizate de prezenta ordonanță de urgență este de 425.000.000 euro pentru investițiile care sunt specifice acțiunii B - Investiții de mică amploare în infrastructura publică a spitalelor mici, orășenești și municipale aferente Priorității 2 , respectiv 1.550.455.000 euro pentru investițiile care sunt specifice acțiunii B - Investiții în infrastructuri spitalicești noi: spitale județene/ județene de urgență; spitale monospecialitate aferente Priorității 4 și unități sanitare. Pentru prioritatea 2 valoarea eligibilă finanțată din Programul Sănătate aferentă unui proiect de investiții specific actiunii B</w:t>
            </w:r>
            <w:r w:rsidR="009032D2" w:rsidRPr="00DD752E">
              <w:t xml:space="preserve"> este de</w:t>
            </w:r>
            <w:r w:rsidR="00F0636C" w:rsidRPr="00DD752E">
              <w:t xml:space="preserve"> </w:t>
            </w:r>
            <w:r w:rsidR="009032D2" w:rsidRPr="00DD752E">
              <w:t>minim 5 milioane euro și maxim 75 milioane euro pentru unitățile sanitare cu paturi municipale pentru lucrări de modernizare/reabilitare și dotare, extindere la construcțiile existente, inclusiv lucrări de conectare la clădiri existente, lucrări de construcții noi și dotare, respectiv minim 5 milioane euro și maxim 45 milioane euro pentru unitățile sanitare cu paturi orășenești pentru lucrări de modernizare/reabilitare și dotare, extindere la construcțiile existente, inclusiv lucrări de conectare la clădiri existente, lucrări de construcții noi și dotare</w:t>
            </w:r>
            <w:r w:rsidR="00F0636C" w:rsidRPr="00DD752E">
              <w:t xml:space="preserve">. Valorile au fost stabilite </w:t>
            </w:r>
            <w:r w:rsidR="00930C34" w:rsidRPr="00DD752E">
              <w:t xml:space="preserve">in functie tipologia interventiilor, </w:t>
            </w:r>
            <w:r w:rsidR="00F0636C" w:rsidRPr="00DD752E">
              <w:t>de tintele mini</w:t>
            </w:r>
            <w:r w:rsidR="00930C34" w:rsidRPr="00DD752E">
              <w:t>me</w:t>
            </w:r>
            <w:r w:rsidR="00F0636C" w:rsidRPr="00DD752E">
              <w:t xml:space="preserve"> din Program </w:t>
            </w:r>
            <w:r w:rsidR="00930C34" w:rsidRPr="00DD752E">
              <w:t>S</w:t>
            </w:r>
            <w:r w:rsidR="00F0636C" w:rsidRPr="00DD752E">
              <w:t>anatate si au avut la ba</w:t>
            </w:r>
            <w:r w:rsidR="00615481" w:rsidRPr="00DD752E">
              <w:t>z</w:t>
            </w:r>
            <w:r w:rsidR="00F0636C" w:rsidRPr="00DD752E">
              <w:t>a investitiil</w:t>
            </w:r>
            <w:r w:rsidR="00615481" w:rsidRPr="00DD752E">
              <w:t>e</w:t>
            </w:r>
            <w:r w:rsidR="00F0636C" w:rsidRPr="00DD752E">
              <w:t xml:space="preserve"> similare din sanatate</w:t>
            </w:r>
            <w:r w:rsidR="00615481" w:rsidRPr="00DD752E">
              <w:t xml:space="preserve"> finantate din PNRR , </w:t>
            </w:r>
            <w:r w:rsidR="00F0636C" w:rsidRPr="00DD752E">
              <w:t>Ministerului Sanatatii.</w:t>
            </w:r>
            <w:r w:rsidR="00930C34" w:rsidRPr="004E29B6">
              <w:t xml:space="preserve"> </w:t>
            </w:r>
            <w:r w:rsidR="00930C34" w:rsidRPr="00DD752E">
              <w:t>Prin acest tip de investiții se urmărește  cu predilecție o mai bună distribuție a infrastructurii de sănătate între regiuni și județe, creșterea accesului populației la servicii medicale  de calitate, creșterea eficacității serviciilor medicale, o mai bună adaptare a infrastructurii la noile cerințe tehnologice și de asigurare a unor circuite funcționale și eficiente.</w:t>
            </w:r>
          </w:p>
          <w:p w14:paraId="45862F79" w14:textId="58FD57BD" w:rsidR="00223491" w:rsidRPr="00DD752E" w:rsidRDefault="00223491" w:rsidP="00DD752E">
            <w:pPr>
              <w:jc w:val="both"/>
              <w:rPr>
                <w:iCs/>
              </w:rPr>
            </w:pPr>
            <w:r w:rsidRPr="00DD752E">
              <w:rPr>
                <w:bCs/>
                <w:lang w:eastAsia="en-GB"/>
              </w:rPr>
              <w:t>2.4 Alte informații</w:t>
            </w:r>
            <w:r w:rsidR="0064777F" w:rsidRPr="00DD752E">
              <w:rPr>
                <w:bCs/>
                <w:lang w:eastAsia="en-GB"/>
              </w:rPr>
              <w:t xml:space="preserve"> *)</w:t>
            </w:r>
          </w:p>
        </w:tc>
      </w:tr>
      <w:tr w:rsidR="009A20EB" w:rsidRPr="004E29B6" w14:paraId="72EEA97B" w14:textId="77777777" w:rsidTr="00655A72">
        <w:trPr>
          <w:trHeight w:val="306"/>
        </w:trPr>
        <w:tc>
          <w:tcPr>
            <w:tcW w:w="10490" w:type="dxa"/>
          </w:tcPr>
          <w:p w14:paraId="009F1B80" w14:textId="1DC64E76" w:rsidR="009A20EB" w:rsidRPr="00DD752E" w:rsidRDefault="00655A72" w:rsidP="00DD752E">
            <w:pPr>
              <w:autoSpaceDE w:val="0"/>
              <w:autoSpaceDN w:val="0"/>
              <w:adjustRightInd w:val="0"/>
              <w:jc w:val="both"/>
              <w:rPr>
                <w:b/>
                <w:lang w:eastAsia="ro-RO"/>
              </w:rPr>
            </w:pPr>
            <w:r w:rsidRPr="00DD752E">
              <w:rPr>
                <w:b/>
                <w:lang w:eastAsia="ro-RO"/>
              </w:rPr>
              <w:lastRenderedPageBreak/>
              <w:t>Nu e cazul</w:t>
            </w:r>
          </w:p>
        </w:tc>
      </w:tr>
    </w:tbl>
    <w:p w14:paraId="0C38ADF6" w14:textId="77777777" w:rsidR="005D2128" w:rsidRPr="00DD752E" w:rsidRDefault="003864F6" w:rsidP="00DD752E">
      <w:pPr>
        <w:rPr>
          <w:b/>
        </w:rPr>
      </w:pPr>
      <w:r w:rsidRPr="00DD752E">
        <w:rPr>
          <w:b/>
        </w:rPr>
        <w:t>Secțiunea</w:t>
      </w:r>
      <w:r w:rsidR="00670C79" w:rsidRPr="00DD752E">
        <w:rPr>
          <w:b/>
        </w:rPr>
        <w:t xml:space="preserve"> a 3-a </w:t>
      </w:r>
    </w:p>
    <w:p w14:paraId="4E4A7A8E" w14:textId="2D11500C" w:rsidR="00670C79" w:rsidRPr="00DD752E" w:rsidRDefault="00670C79" w:rsidP="00DD752E">
      <w:pPr>
        <w:rPr>
          <w:b/>
        </w:rPr>
      </w:pPr>
      <w:r w:rsidRPr="00DD752E">
        <w:rPr>
          <w:b/>
        </w:rPr>
        <w:t xml:space="preserve">Impactul socioeconomic </w:t>
      </w:r>
      <w:r w:rsidR="0064777F" w:rsidRPr="00DD752E">
        <w:rPr>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552DB6" w:rsidRPr="004E29B6" w14:paraId="4F7B7B5A" w14:textId="77777777" w:rsidTr="007C07B3">
        <w:tc>
          <w:tcPr>
            <w:tcW w:w="10533" w:type="dxa"/>
          </w:tcPr>
          <w:p w14:paraId="612A275C" w14:textId="77777777" w:rsidR="00F72189" w:rsidRPr="00DD752E" w:rsidRDefault="00F72189" w:rsidP="00DD752E">
            <w:pPr>
              <w:jc w:val="both"/>
              <w:rPr>
                <w:b/>
              </w:rPr>
            </w:pPr>
            <w:r w:rsidRPr="00DD752E">
              <w:rPr>
                <w:b/>
              </w:rPr>
              <w:t>3.1 Descrierea generală a beneficiilor și costurilor estimate ca urmare a intrării în vigoare a actului normativ</w:t>
            </w:r>
          </w:p>
          <w:p w14:paraId="0675353F" w14:textId="77777777" w:rsidR="00F72189" w:rsidRPr="00DD752E" w:rsidRDefault="00F72189" w:rsidP="00DD752E">
            <w:pPr>
              <w:jc w:val="both"/>
              <w:rPr>
                <w:b/>
              </w:rPr>
            </w:pPr>
            <w:r w:rsidRPr="00DD752E">
              <w:rPr>
                <w:b/>
              </w:rPr>
              <w:t>3.2 Impactul social</w:t>
            </w:r>
          </w:p>
          <w:p w14:paraId="454D8B3A" w14:textId="77777777" w:rsidR="00FA6793" w:rsidRPr="00DD752E" w:rsidRDefault="00FA6793" w:rsidP="00DD752E">
            <w:pPr>
              <w:jc w:val="both"/>
            </w:pPr>
            <w:r w:rsidRPr="00DD752E">
              <w:t>Investițiile realizate în infrastructura de sănătate contribuie la: creșterea calității serviciilor medicale, accesul rapid la asistență medicală preventivă și curativă de bună calitate. Astfel, se vor reduce inegalitățile în ceea ce privește starea de sănătate a populației, prin diagnosticarea precoce și tratarea cu succes a unor afecțiuni grave, ducând la scăderea ponderii persoanelor cu nevoi medicale neacoperite. Prin investițiile care vor fi finanțate se va acorda o atenție specială adaptării infrastructurii nou construite pentru persoanele cu dizabilități .</w:t>
            </w:r>
          </w:p>
          <w:p w14:paraId="4AE2FDB2" w14:textId="3EF422D8" w:rsidR="00FA6793" w:rsidRPr="00DD752E" w:rsidRDefault="00FA6793" w:rsidP="00DD752E">
            <w:pPr>
              <w:jc w:val="both"/>
            </w:pPr>
            <w:r w:rsidRPr="00DD752E">
              <w:t xml:space="preserve">Investițiile realizate vor conduce la îmbunătățirea calității și eficienței asistenței spitalicești de urgență, iar obiectivele specifice urmăresc crearea unei rețele spitalicești integrate funcțional, cu roluri și funcții specifice </w:t>
            </w:r>
            <w:r w:rsidRPr="00DD752E">
              <w:lastRenderedPageBreak/>
              <w:t>fiecărui nivel de complexitate și competență al asistenței medicale, îmbunătățirea eficienței și sustenabilității serviciilor medicale, creșterea eficacității clinice în special la nivelul spitalelor, acces sporit al populației din regiune la servicii medicale, inclusiv al grupurilor vulnerabile, reducerea mortalității evitabile în regiune, creșterea calității vieții în regiune.</w:t>
            </w:r>
          </w:p>
          <w:p w14:paraId="54EB150F" w14:textId="5DF10F6D" w:rsidR="00FA6793" w:rsidRPr="00DD752E" w:rsidRDefault="00FA6793" w:rsidP="00DD752E">
            <w:pPr>
              <w:jc w:val="both"/>
            </w:pPr>
            <w:r w:rsidRPr="00DD752E">
              <w:t>Totodată, vor contribui la creșterea capacitații administrative la nivel central si local pentru pregătirea și implementarea proiectelor mari de investiții.</w:t>
            </w:r>
          </w:p>
          <w:p w14:paraId="49F54BE2" w14:textId="5B52523D" w:rsidR="00FB45DC" w:rsidRPr="00DD752E" w:rsidRDefault="00F72189" w:rsidP="00DD752E">
            <w:pPr>
              <w:jc w:val="both"/>
              <w:rPr>
                <w:b/>
              </w:rPr>
            </w:pPr>
            <w:r w:rsidRPr="00DD752E">
              <w:rPr>
                <w:b/>
              </w:rPr>
              <w:t xml:space="preserve">3.3. Impactul asupra drepturilor și libertăților fundamentale ale omului </w:t>
            </w:r>
          </w:p>
          <w:p w14:paraId="39EEBBF9" w14:textId="05F82639" w:rsidR="00FA6793" w:rsidRPr="00DD752E" w:rsidRDefault="00FA6793" w:rsidP="00DD752E">
            <w:pPr>
              <w:jc w:val="both"/>
            </w:pPr>
            <w:r w:rsidRPr="00DD752E">
              <w:t>Acțiunile concrete și eficiente implementate prin Programul Sănătate vor avea o capacitate reală de a contribui la atingerea dezideratului ca oamenii, indiferent de gen, vârstă, mediu social, persoanele cu dizabilități, să beneficieze de șanse și tratament egal privind accesul facil și rapid la serviciile medicale.</w:t>
            </w:r>
          </w:p>
          <w:p w14:paraId="139B6ECC" w14:textId="2274B3CA" w:rsidR="00FB45DC" w:rsidRPr="00DD752E" w:rsidRDefault="00FD3526" w:rsidP="00DD752E">
            <w:pPr>
              <w:jc w:val="both"/>
              <w:rPr>
                <w:b/>
              </w:rPr>
            </w:pPr>
            <w:r w:rsidRPr="00DD752E">
              <w:rPr>
                <w:b/>
              </w:rPr>
              <w:t>3.4. Impactul macroeconomic</w:t>
            </w:r>
          </w:p>
          <w:p w14:paraId="164EC38B" w14:textId="4863D9E5" w:rsidR="00F72189" w:rsidRPr="00DD752E" w:rsidRDefault="00F72189" w:rsidP="00DD752E">
            <w:pPr>
              <w:jc w:val="both"/>
              <w:rPr>
                <w:b/>
              </w:rPr>
            </w:pPr>
            <w:r w:rsidRPr="00DD752E">
              <w:rPr>
                <w:b/>
              </w:rPr>
              <w:t>3.</w:t>
            </w:r>
            <w:r w:rsidR="00FD3526" w:rsidRPr="00DD752E">
              <w:rPr>
                <w:b/>
              </w:rPr>
              <w:t>4</w:t>
            </w:r>
            <w:r w:rsidRPr="00DD752E">
              <w:rPr>
                <w:b/>
              </w:rPr>
              <w:t xml:space="preserve">.1 Impactul asupra </w:t>
            </w:r>
            <w:r w:rsidR="00FD3526" w:rsidRPr="00DD752E">
              <w:rPr>
                <w:b/>
              </w:rPr>
              <w:t xml:space="preserve">economiei și asupra </w:t>
            </w:r>
            <w:r w:rsidRPr="00DD752E">
              <w:rPr>
                <w:b/>
              </w:rPr>
              <w:t>principalilor indicatori macroeconomici</w:t>
            </w:r>
          </w:p>
          <w:p w14:paraId="75E02320" w14:textId="7AE25F43" w:rsidR="00420831" w:rsidRPr="00DD752E" w:rsidRDefault="00420831" w:rsidP="00DD752E">
            <w:pPr>
              <w:jc w:val="both"/>
            </w:pPr>
            <w:r w:rsidRPr="00DD752E">
              <w:t xml:space="preserve">Impactul financiar va fi pozitiv implicând alocarea de fonduri europene pentru marile proiecte de infrastructura cu impact direct in indicatorii macroeconomici naționali. </w:t>
            </w:r>
          </w:p>
          <w:p w14:paraId="01A82EB9" w14:textId="25F74C15" w:rsidR="00031D8D" w:rsidRPr="00DD752E" w:rsidRDefault="00F72189" w:rsidP="00DD752E">
            <w:pPr>
              <w:jc w:val="both"/>
              <w:rPr>
                <w:b/>
              </w:rPr>
            </w:pPr>
            <w:r w:rsidRPr="00DD752E">
              <w:rPr>
                <w:b/>
              </w:rPr>
              <w:t>3.</w:t>
            </w:r>
            <w:r w:rsidR="00FD3526" w:rsidRPr="00DD752E">
              <w:rPr>
                <w:b/>
              </w:rPr>
              <w:t>4</w:t>
            </w:r>
            <w:r w:rsidRPr="00DD752E">
              <w:rPr>
                <w:b/>
              </w:rPr>
              <w:t>.2 Impactul asupra mediului concurențial si domeniul</w:t>
            </w:r>
            <w:r w:rsidR="00FB45DC" w:rsidRPr="00DD752E">
              <w:rPr>
                <w:b/>
              </w:rPr>
              <w:t>ui</w:t>
            </w:r>
            <w:r w:rsidRPr="00DD752E">
              <w:rPr>
                <w:b/>
              </w:rPr>
              <w:t xml:space="preserve"> ajutoarelor de stat</w:t>
            </w:r>
          </w:p>
          <w:p w14:paraId="25C9F71B" w14:textId="40EFBEC7" w:rsidR="005115CE" w:rsidRPr="00DD752E" w:rsidRDefault="005115CE" w:rsidP="00DD752E">
            <w:pPr>
              <w:jc w:val="both"/>
              <w:rPr>
                <w:b/>
              </w:rPr>
            </w:pPr>
            <w:r w:rsidRPr="00DD752E">
              <w:rPr>
                <w:b/>
              </w:rPr>
              <w:t>Nu e cazul</w:t>
            </w:r>
          </w:p>
          <w:p w14:paraId="5D645A5F" w14:textId="5BC07728" w:rsidR="00F72189" w:rsidRPr="00DD752E" w:rsidRDefault="00F72189" w:rsidP="00DD752E">
            <w:pPr>
              <w:jc w:val="both"/>
              <w:rPr>
                <w:b/>
              </w:rPr>
            </w:pPr>
            <w:r w:rsidRPr="00DD752E">
              <w:rPr>
                <w:b/>
              </w:rPr>
              <w:t>3.</w:t>
            </w:r>
            <w:r w:rsidR="00FD3526" w:rsidRPr="00DD752E">
              <w:rPr>
                <w:b/>
              </w:rPr>
              <w:t>5</w:t>
            </w:r>
            <w:r w:rsidRPr="00DD752E">
              <w:rPr>
                <w:b/>
              </w:rPr>
              <w:t>. Impactul asupra mediului de afaceri</w:t>
            </w:r>
          </w:p>
          <w:p w14:paraId="0D0F8EDB" w14:textId="777F2372" w:rsidR="005115CE" w:rsidRPr="00DD752E" w:rsidRDefault="005115CE" w:rsidP="00DD752E">
            <w:pPr>
              <w:jc w:val="both"/>
              <w:rPr>
                <w:b/>
              </w:rPr>
            </w:pPr>
            <w:r w:rsidRPr="00DD752E">
              <w:rPr>
                <w:b/>
              </w:rPr>
              <w:t>Nu e cazul</w:t>
            </w:r>
          </w:p>
          <w:p w14:paraId="6BA44179" w14:textId="6BBF570F" w:rsidR="00FD3526" w:rsidRPr="00DD752E" w:rsidRDefault="00FD3526" w:rsidP="00DD752E">
            <w:pPr>
              <w:jc w:val="both"/>
              <w:rPr>
                <w:b/>
              </w:rPr>
            </w:pPr>
            <w:r w:rsidRPr="00DD752E">
              <w:rPr>
                <w:b/>
              </w:rPr>
              <w:t>3.6 Impactul asupra mediului înconjurător</w:t>
            </w:r>
          </w:p>
          <w:p w14:paraId="55CFDA7E" w14:textId="7F8C3A7E" w:rsidR="00FD3526" w:rsidRPr="00DD752E" w:rsidRDefault="00FD3526" w:rsidP="00DD752E">
            <w:pPr>
              <w:jc w:val="both"/>
              <w:rPr>
                <w:b/>
                <w:bCs/>
              </w:rPr>
            </w:pPr>
            <w:r w:rsidRPr="00DD752E">
              <w:rPr>
                <w:b/>
                <w:bCs/>
              </w:rPr>
              <w:t>3.7. Evaluarea costurilor și beneficiilor din perspectiva inovării și digitalizării</w:t>
            </w:r>
          </w:p>
          <w:p w14:paraId="34E008ED" w14:textId="3ED01415" w:rsidR="005115CE" w:rsidRPr="00DD752E" w:rsidRDefault="005115CE" w:rsidP="00DD752E">
            <w:pPr>
              <w:jc w:val="both"/>
              <w:rPr>
                <w:b/>
                <w:bCs/>
              </w:rPr>
            </w:pPr>
            <w:r w:rsidRPr="00DD752E">
              <w:rPr>
                <w:b/>
                <w:bCs/>
              </w:rPr>
              <w:t>Nu e cazul</w:t>
            </w:r>
          </w:p>
          <w:p w14:paraId="3CFEFC6B" w14:textId="6B7012DE" w:rsidR="00FD3526" w:rsidRPr="00DD752E" w:rsidRDefault="00FD3526" w:rsidP="00DD752E">
            <w:pPr>
              <w:jc w:val="both"/>
              <w:rPr>
                <w:b/>
                <w:bCs/>
              </w:rPr>
            </w:pPr>
            <w:r w:rsidRPr="00DD752E">
              <w:rPr>
                <w:b/>
                <w:bCs/>
              </w:rPr>
              <w:t>3.8 Evaluarea costurilor și beneficiilor din perspectiva dezvoltării durabile</w:t>
            </w:r>
          </w:p>
          <w:p w14:paraId="2C4B0000" w14:textId="0A2823D2" w:rsidR="005115CE" w:rsidRPr="00DD752E" w:rsidRDefault="005115CE" w:rsidP="00DD752E">
            <w:pPr>
              <w:jc w:val="both"/>
              <w:rPr>
                <w:b/>
                <w:bCs/>
              </w:rPr>
            </w:pPr>
            <w:r w:rsidRPr="00DD752E">
              <w:rPr>
                <w:b/>
                <w:bCs/>
              </w:rPr>
              <w:t>Nu e cazul</w:t>
            </w:r>
          </w:p>
          <w:p w14:paraId="041FB550" w14:textId="4450C8F6" w:rsidR="00FD3526" w:rsidRPr="00DD752E" w:rsidRDefault="00FD3526" w:rsidP="00DD752E">
            <w:pPr>
              <w:jc w:val="both"/>
              <w:rPr>
                <w:b/>
                <w:bCs/>
              </w:rPr>
            </w:pPr>
            <w:r w:rsidRPr="00DD752E">
              <w:rPr>
                <w:b/>
                <w:bCs/>
              </w:rPr>
              <w:t>3.9. Alte informații</w:t>
            </w:r>
          </w:p>
        </w:tc>
      </w:tr>
    </w:tbl>
    <w:p w14:paraId="20A2BC5C" w14:textId="77777777" w:rsidR="005A13C5" w:rsidRPr="00DD752E" w:rsidRDefault="00670C79" w:rsidP="00DD752E">
      <w:pPr>
        <w:jc w:val="both"/>
        <w:rPr>
          <w:b/>
        </w:rPr>
      </w:pPr>
      <w:r w:rsidRPr="00DD752E">
        <w:rPr>
          <w:b/>
        </w:rPr>
        <w:lastRenderedPageBreak/>
        <w:t xml:space="preserve">Secţiunea a 4-a </w:t>
      </w:r>
    </w:p>
    <w:p w14:paraId="34AED0C5" w14:textId="5ABB9584" w:rsidR="00670C79" w:rsidRPr="00DD752E" w:rsidRDefault="00670C79" w:rsidP="00DD752E">
      <w:pPr>
        <w:jc w:val="both"/>
        <w:rPr>
          <w:b/>
        </w:rPr>
      </w:pPr>
      <w:r w:rsidRPr="00DD752E">
        <w:rPr>
          <w:b/>
        </w:rPr>
        <w:t xml:space="preserve">Impactul financiar asupra bugetului </w:t>
      </w:r>
      <w:r w:rsidR="0064777F" w:rsidRPr="00DD752E">
        <w:rPr>
          <w:b/>
        </w:rPr>
        <w:t>general</w:t>
      </w:r>
      <w:r w:rsidRPr="00DD752E">
        <w:rPr>
          <w:b/>
        </w:rPr>
        <w:t xml:space="preserve"> consolidat atât pe termen scurt, pentru</w:t>
      </w:r>
      <w:r w:rsidR="00DB71DB" w:rsidRPr="00DD752E">
        <w:rPr>
          <w:b/>
        </w:rPr>
        <w:t xml:space="preserve"> </w:t>
      </w:r>
      <w:r w:rsidRPr="00DD752E">
        <w:rPr>
          <w:b/>
        </w:rPr>
        <w:t>anul curent, cât şi pe termen lung (pe 5 ani)</w:t>
      </w:r>
      <w:r w:rsidR="003034B1" w:rsidRPr="00DD752E">
        <w:rPr>
          <w:b/>
        </w:rPr>
        <w:t>, inclusiv informații cu privire la cheltuieli și venituri</w:t>
      </w:r>
      <w:r w:rsidR="0064777F" w:rsidRPr="00DD752E">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552DB6" w:rsidRPr="004E29B6" w14:paraId="0C843357" w14:textId="77777777" w:rsidTr="0037486B">
        <w:tc>
          <w:tcPr>
            <w:tcW w:w="10533" w:type="dxa"/>
            <w:gridSpan w:val="7"/>
          </w:tcPr>
          <w:p w14:paraId="33061C9B" w14:textId="7824EB12" w:rsidR="009A76F9" w:rsidRPr="00DD752E" w:rsidRDefault="009A76F9" w:rsidP="00DD752E">
            <w:pPr>
              <w:pStyle w:val="ListParagraph"/>
              <w:numPr>
                <w:ilvl w:val="0"/>
                <w:numId w:val="13"/>
              </w:numPr>
              <w:jc w:val="right"/>
              <w:rPr>
                <w:rFonts w:ascii="Times New Roman" w:hAnsi="Times New Roman" w:cs="Times New Roman"/>
              </w:rPr>
            </w:pPr>
            <w:r w:rsidRPr="00DD752E">
              <w:rPr>
                <w:rFonts w:ascii="Times New Roman" w:hAnsi="Times New Roman" w:cs="Times New Roman"/>
              </w:rPr>
              <w:t>În mii lei (RON)</w:t>
            </w:r>
          </w:p>
        </w:tc>
      </w:tr>
      <w:tr w:rsidR="00552DB6" w:rsidRPr="004E29B6" w14:paraId="57D824B3" w14:textId="77777777" w:rsidTr="005A13C5">
        <w:tc>
          <w:tcPr>
            <w:tcW w:w="2694" w:type="dxa"/>
          </w:tcPr>
          <w:p w14:paraId="318BEE35" w14:textId="77777777" w:rsidR="00670C79" w:rsidRPr="00DD752E" w:rsidRDefault="00670C79" w:rsidP="00DD752E">
            <w:pPr>
              <w:pStyle w:val="Heading2"/>
              <w:rPr>
                <w:sz w:val="24"/>
              </w:rPr>
            </w:pPr>
            <w:r w:rsidRPr="00DD752E">
              <w:rPr>
                <w:sz w:val="24"/>
              </w:rPr>
              <w:t>Indicatori</w:t>
            </w:r>
          </w:p>
        </w:tc>
        <w:tc>
          <w:tcPr>
            <w:tcW w:w="1058" w:type="dxa"/>
          </w:tcPr>
          <w:p w14:paraId="603E3C85" w14:textId="129C77CD" w:rsidR="00670C79" w:rsidRPr="00DD752E" w:rsidRDefault="00670C79" w:rsidP="00DD752E">
            <w:pPr>
              <w:jc w:val="center"/>
            </w:pPr>
            <w:r w:rsidRPr="00DD752E">
              <w:t>An</w:t>
            </w:r>
            <w:r w:rsidR="009A76F9" w:rsidRPr="00DD752E">
              <w:t>ul</w:t>
            </w:r>
            <w:r w:rsidRPr="00DD752E">
              <w:t xml:space="preserve"> curent</w:t>
            </w:r>
          </w:p>
        </w:tc>
        <w:tc>
          <w:tcPr>
            <w:tcW w:w="5333" w:type="dxa"/>
            <w:gridSpan w:val="4"/>
          </w:tcPr>
          <w:p w14:paraId="4EA4AF47" w14:textId="77777777" w:rsidR="00670C79" w:rsidRPr="00DD752E" w:rsidRDefault="00670C79" w:rsidP="00DD752E">
            <w:pPr>
              <w:jc w:val="center"/>
            </w:pPr>
            <w:r w:rsidRPr="00DD752E">
              <w:t>Următorii 4 ani</w:t>
            </w:r>
          </w:p>
        </w:tc>
        <w:tc>
          <w:tcPr>
            <w:tcW w:w="1448" w:type="dxa"/>
          </w:tcPr>
          <w:p w14:paraId="1EE52564" w14:textId="74A4CFA0" w:rsidR="00670C79" w:rsidRPr="00DD752E" w:rsidRDefault="00670C79" w:rsidP="00DD752E">
            <w:pPr>
              <w:jc w:val="center"/>
            </w:pPr>
            <w:r w:rsidRPr="00DD752E">
              <w:t xml:space="preserve">Media </w:t>
            </w:r>
            <w:r w:rsidR="009A76F9" w:rsidRPr="00DD752E">
              <w:t>pe</w:t>
            </w:r>
            <w:r w:rsidRPr="00DD752E">
              <w:t xml:space="preserve"> 5 ani</w:t>
            </w:r>
          </w:p>
        </w:tc>
      </w:tr>
      <w:tr w:rsidR="00552DB6" w:rsidRPr="004E29B6" w14:paraId="31AEB740" w14:textId="77777777" w:rsidTr="005A13C5">
        <w:tc>
          <w:tcPr>
            <w:tcW w:w="2694" w:type="dxa"/>
          </w:tcPr>
          <w:p w14:paraId="1A04C9C9" w14:textId="77777777" w:rsidR="00670C79" w:rsidRPr="00DD752E" w:rsidRDefault="00670C79" w:rsidP="00DD752E">
            <w:pPr>
              <w:jc w:val="center"/>
            </w:pPr>
            <w:r w:rsidRPr="00DD752E">
              <w:t>1</w:t>
            </w:r>
          </w:p>
        </w:tc>
        <w:tc>
          <w:tcPr>
            <w:tcW w:w="1058" w:type="dxa"/>
            <w:vAlign w:val="center"/>
          </w:tcPr>
          <w:p w14:paraId="44BDE6EE" w14:textId="77777777" w:rsidR="00670C79" w:rsidRPr="00DD752E" w:rsidRDefault="00670C79" w:rsidP="00DD752E">
            <w:pPr>
              <w:jc w:val="center"/>
            </w:pPr>
            <w:r w:rsidRPr="00DD752E">
              <w:t>2</w:t>
            </w:r>
          </w:p>
        </w:tc>
        <w:tc>
          <w:tcPr>
            <w:tcW w:w="1366" w:type="dxa"/>
            <w:vAlign w:val="center"/>
          </w:tcPr>
          <w:p w14:paraId="44511A2B" w14:textId="77777777" w:rsidR="00670C79" w:rsidRPr="00DD752E" w:rsidRDefault="00670C79" w:rsidP="00DD752E">
            <w:pPr>
              <w:jc w:val="center"/>
            </w:pPr>
            <w:r w:rsidRPr="00DD752E">
              <w:t>3</w:t>
            </w:r>
          </w:p>
        </w:tc>
        <w:tc>
          <w:tcPr>
            <w:tcW w:w="1466" w:type="dxa"/>
            <w:vAlign w:val="center"/>
          </w:tcPr>
          <w:p w14:paraId="7665B810" w14:textId="77777777" w:rsidR="00670C79" w:rsidRPr="00DD752E" w:rsidRDefault="00670C79" w:rsidP="00DD752E">
            <w:pPr>
              <w:jc w:val="center"/>
            </w:pPr>
            <w:r w:rsidRPr="00DD752E">
              <w:t>4</w:t>
            </w:r>
          </w:p>
        </w:tc>
        <w:tc>
          <w:tcPr>
            <w:tcW w:w="1366" w:type="dxa"/>
            <w:vAlign w:val="center"/>
          </w:tcPr>
          <w:p w14:paraId="375332DA" w14:textId="77777777" w:rsidR="00670C79" w:rsidRPr="00DD752E" w:rsidRDefault="00670C79" w:rsidP="00DD752E">
            <w:pPr>
              <w:jc w:val="center"/>
            </w:pPr>
            <w:r w:rsidRPr="00DD752E">
              <w:t>5</w:t>
            </w:r>
          </w:p>
        </w:tc>
        <w:tc>
          <w:tcPr>
            <w:tcW w:w="1135" w:type="dxa"/>
            <w:vAlign w:val="center"/>
          </w:tcPr>
          <w:p w14:paraId="0DD2A48C" w14:textId="77777777" w:rsidR="00670C79" w:rsidRPr="00DD752E" w:rsidRDefault="00670C79" w:rsidP="00DD752E">
            <w:pPr>
              <w:jc w:val="center"/>
            </w:pPr>
            <w:r w:rsidRPr="00DD752E">
              <w:t>6</w:t>
            </w:r>
          </w:p>
        </w:tc>
        <w:tc>
          <w:tcPr>
            <w:tcW w:w="1448" w:type="dxa"/>
            <w:vAlign w:val="center"/>
          </w:tcPr>
          <w:p w14:paraId="64FF500C" w14:textId="77777777" w:rsidR="00670C79" w:rsidRPr="00DD752E" w:rsidRDefault="00670C79" w:rsidP="00DD752E">
            <w:pPr>
              <w:jc w:val="center"/>
            </w:pPr>
            <w:r w:rsidRPr="00DD752E">
              <w:t>7</w:t>
            </w:r>
          </w:p>
        </w:tc>
      </w:tr>
      <w:tr w:rsidR="00552DB6" w:rsidRPr="004E29B6" w14:paraId="24F374CE" w14:textId="77777777" w:rsidTr="005A13C5">
        <w:tc>
          <w:tcPr>
            <w:tcW w:w="2694" w:type="dxa"/>
          </w:tcPr>
          <w:p w14:paraId="7075F3AB" w14:textId="3D2A3576" w:rsidR="0025682E" w:rsidRPr="00DD752E" w:rsidRDefault="00CD28D5" w:rsidP="00DD752E">
            <w:pPr>
              <w:jc w:val="both"/>
              <w:rPr>
                <w:b/>
                <w:bCs/>
              </w:rPr>
            </w:pPr>
            <w:r w:rsidRPr="00DD752E">
              <w:rPr>
                <w:b/>
                <w:bCs/>
              </w:rPr>
              <w:t>4.</w:t>
            </w:r>
            <w:r w:rsidR="00670C79" w:rsidRPr="00DD752E">
              <w:rPr>
                <w:b/>
                <w:bCs/>
              </w:rPr>
              <w:t>1.</w:t>
            </w:r>
            <w:r w:rsidRPr="00DD752E">
              <w:rPr>
                <w:b/>
                <w:bCs/>
              </w:rPr>
              <w:t xml:space="preserve"> </w:t>
            </w:r>
            <w:r w:rsidR="00670C79" w:rsidRPr="00DD752E">
              <w:rPr>
                <w:b/>
                <w:bCs/>
              </w:rPr>
              <w:t>Modificări ale veniturilor bugetare, plus/minus, din care:</w:t>
            </w:r>
          </w:p>
        </w:tc>
        <w:tc>
          <w:tcPr>
            <w:tcW w:w="1058" w:type="dxa"/>
          </w:tcPr>
          <w:p w14:paraId="7811CDB2" w14:textId="77777777" w:rsidR="00670C79" w:rsidRPr="00DD752E" w:rsidRDefault="00670C79" w:rsidP="00DD752E">
            <w:pPr>
              <w:pStyle w:val="BodyText2"/>
              <w:rPr>
                <w:sz w:val="24"/>
              </w:rPr>
            </w:pPr>
          </w:p>
        </w:tc>
        <w:tc>
          <w:tcPr>
            <w:tcW w:w="1366" w:type="dxa"/>
          </w:tcPr>
          <w:p w14:paraId="5E0D1921" w14:textId="77777777" w:rsidR="00670C79" w:rsidRPr="00DD752E" w:rsidRDefault="00670C79" w:rsidP="00DD752E">
            <w:pPr>
              <w:pStyle w:val="BodyText2"/>
              <w:rPr>
                <w:sz w:val="24"/>
              </w:rPr>
            </w:pPr>
          </w:p>
        </w:tc>
        <w:tc>
          <w:tcPr>
            <w:tcW w:w="1466" w:type="dxa"/>
          </w:tcPr>
          <w:p w14:paraId="3789DD62" w14:textId="77777777" w:rsidR="00670C79" w:rsidRPr="00DD752E" w:rsidRDefault="00670C79" w:rsidP="00DD752E">
            <w:pPr>
              <w:pStyle w:val="BodyText2"/>
              <w:rPr>
                <w:sz w:val="24"/>
              </w:rPr>
            </w:pPr>
          </w:p>
        </w:tc>
        <w:tc>
          <w:tcPr>
            <w:tcW w:w="1366" w:type="dxa"/>
          </w:tcPr>
          <w:p w14:paraId="3EFEBCA3" w14:textId="77777777" w:rsidR="00670C79" w:rsidRPr="00DD752E" w:rsidRDefault="00670C79" w:rsidP="00DD752E">
            <w:pPr>
              <w:pStyle w:val="BodyText2"/>
              <w:rPr>
                <w:sz w:val="24"/>
              </w:rPr>
            </w:pPr>
          </w:p>
        </w:tc>
        <w:tc>
          <w:tcPr>
            <w:tcW w:w="1135" w:type="dxa"/>
          </w:tcPr>
          <w:p w14:paraId="4D97905B" w14:textId="77777777" w:rsidR="00670C79" w:rsidRPr="00DD752E" w:rsidRDefault="00670C79" w:rsidP="00DD752E">
            <w:pPr>
              <w:pStyle w:val="BodyText2"/>
              <w:rPr>
                <w:sz w:val="24"/>
              </w:rPr>
            </w:pPr>
          </w:p>
        </w:tc>
        <w:tc>
          <w:tcPr>
            <w:tcW w:w="1448" w:type="dxa"/>
          </w:tcPr>
          <w:p w14:paraId="4A89D66A" w14:textId="77777777" w:rsidR="00670C79" w:rsidRPr="00DD752E" w:rsidRDefault="00670C79" w:rsidP="00DD752E">
            <w:pPr>
              <w:pStyle w:val="BodyText2"/>
              <w:rPr>
                <w:sz w:val="24"/>
              </w:rPr>
            </w:pPr>
          </w:p>
        </w:tc>
      </w:tr>
      <w:tr w:rsidR="00552DB6" w:rsidRPr="004E29B6" w14:paraId="7E845381" w14:textId="77777777" w:rsidTr="005A13C5">
        <w:tc>
          <w:tcPr>
            <w:tcW w:w="2694" w:type="dxa"/>
          </w:tcPr>
          <w:p w14:paraId="25792053" w14:textId="77777777" w:rsidR="003A367D" w:rsidRPr="00DD752E" w:rsidRDefault="003A367D" w:rsidP="00DD752E">
            <w:pPr>
              <w:jc w:val="both"/>
            </w:pPr>
            <w:r w:rsidRPr="00DD752E">
              <w:t>a) bugetul de stat, din acesta:</w:t>
            </w:r>
          </w:p>
          <w:p w14:paraId="32D9DBFB" w14:textId="15A036BA" w:rsidR="003A367D" w:rsidRPr="00DD752E" w:rsidRDefault="00CD28D5" w:rsidP="00DD752E">
            <w:pPr>
              <w:jc w:val="both"/>
            </w:pPr>
            <w:r w:rsidRPr="00DD752E">
              <w:t xml:space="preserve">(i) </w:t>
            </w:r>
            <w:r w:rsidR="003A367D" w:rsidRPr="00DD752E">
              <w:t>impozit pe profit</w:t>
            </w:r>
          </w:p>
          <w:p w14:paraId="67C4E169" w14:textId="0BD99910" w:rsidR="003A367D" w:rsidRPr="00DD752E" w:rsidRDefault="00CD28D5" w:rsidP="00DD752E">
            <w:pPr>
              <w:jc w:val="both"/>
            </w:pPr>
            <w:r w:rsidRPr="00DD752E">
              <w:t xml:space="preserve">(ii) </w:t>
            </w:r>
            <w:r w:rsidR="003A367D" w:rsidRPr="00DD752E">
              <w:t>impozit pe venit</w:t>
            </w:r>
          </w:p>
        </w:tc>
        <w:tc>
          <w:tcPr>
            <w:tcW w:w="1058" w:type="dxa"/>
          </w:tcPr>
          <w:p w14:paraId="07086A97" w14:textId="77777777" w:rsidR="003A367D" w:rsidRPr="00DD752E" w:rsidRDefault="003A367D" w:rsidP="00DD752E">
            <w:pPr>
              <w:pStyle w:val="BodyText2"/>
              <w:rPr>
                <w:sz w:val="24"/>
              </w:rPr>
            </w:pPr>
          </w:p>
        </w:tc>
        <w:tc>
          <w:tcPr>
            <w:tcW w:w="1366" w:type="dxa"/>
          </w:tcPr>
          <w:p w14:paraId="68EDD67B" w14:textId="77777777" w:rsidR="003A367D" w:rsidRPr="00DD752E" w:rsidRDefault="003A367D" w:rsidP="00DD752E">
            <w:pPr>
              <w:pStyle w:val="BodyText2"/>
              <w:rPr>
                <w:sz w:val="24"/>
              </w:rPr>
            </w:pPr>
          </w:p>
        </w:tc>
        <w:tc>
          <w:tcPr>
            <w:tcW w:w="1466" w:type="dxa"/>
          </w:tcPr>
          <w:p w14:paraId="074A0C4C" w14:textId="77777777" w:rsidR="003A367D" w:rsidRPr="00DD752E" w:rsidRDefault="003A367D" w:rsidP="00DD752E">
            <w:pPr>
              <w:pStyle w:val="BodyText2"/>
              <w:rPr>
                <w:sz w:val="24"/>
              </w:rPr>
            </w:pPr>
          </w:p>
        </w:tc>
        <w:tc>
          <w:tcPr>
            <w:tcW w:w="1366" w:type="dxa"/>
          </w:tcPr>
          <w:p w14:paraId="3EC66A65" w14:textId="77777777" w:rsidR="003A367D" w:rsidRPr="00DD752E" w:rsidRDefault="003A367D" w:rsidP="00DD752E">
            <w:pPr>
              <w:pStyle w:val="BodyText2"/>
              <w:rPr>
                <w:sz w:val="24"/>
              </w:rPr>
            </w:pPr>
          </w:p>
        </w:tc>
        <w:tc>
          <w:tcPr>
            <w:tcW w:w="1135" w:type="dxa"/>
          </w:tcPr>
          <w:p w14:paraId="5CEC73AA" w14:textId="77777777" w:rsidR="003A367D" w:rsidRPr="00DD752E" w:rsidRDefault="003A367D" w:rsidP="00DD752E">
            <w:pPr>
              <w:pStyle w:val="BodyText2"/>
              <w:rPr>
                <w:sz w:val="24"/>
              </w:rPr>
            </w:pPr>
          </w:p>
        </w:tc>
        <w:tc>
          <w:tcPr>
            <w:tcW w:w="1448" w:type="dxa"/>
          </w:tcPr>
          <w:p w14:paraId="761E2BD4" w14:textId="77777777" w:rsidR="003A367D" w:rsidRPr="00DD752E" w:rsidRDefault="003A367D" w:rsidP="00DD752E">
            <w:pPr>
              <w:pStyle w:val="BodyText2"/>
              <w:rPr>
                <w:sz w:val="24"/>
              </w:rPr>
            </w:pPr>
          </w:p>
        </w:tc>
      </w:tr>
      <w:tr w:rsidR="00552DB6" w:rsidRPr="004E29B6" w14:paraId="6771B99C" w14:textId="77777777" w:rsidTr="005A13C5">
        <w:tc>
          <w:tcPr>
            <w:tcW w:w="2694" w:type="dxa"/>
          </w:tcPr>
          <w:p w14:paraId="6A8A0E7F" w14:textId="577483D3" w:rsidR="003A367D" w:rsidRPr="00DD752E" w:rsidRDefault="003A367D" w:rsidP="00DD752E">
            <w:pPr>
              <w:jc w:val="both"/>
            </w:pPr>
            <w:r w:rsidRPr="00DD752E">
              <w:t>b) bugete locale:</w:t>
            </w:r>
          </w:p>
          <w:p w14:paraId="3B0FCECB" w14:textId="7AB36B1B" w:rsidR="003A367D" w:rsidRPr="00DD752E" w:rsidRDefault="00CD28D5" w:rsidP="00DD752E">
            <w:pPr>
              <w:jc w:val="both"/>
            </w:pPr>
            <w:r w:rsidRPr="00DD752E">
              <w:t xml:space="preserve">(i) </w:t>
            </w:r>
            <w:r w:rsidR="003A367D" w:rsidRPr="00DD752E">
              <w:t>impozit pe profit</w:t>
            </w:r>
          </w:p>
        </w:tc>
        <w:tc>
          <w:tcPr>
            <w:tcW w:w="1058" w:type="dxa"/>
          </w:tcPr>
          <w:p w14:paraId="687D0BEC" w14:textId="77777777" w:rsidR="003A367D" w:rsidRPr="00DD752E" w:rsidRDefault="003A367D" w:rsidP="00DD752E">
            <w:pPr>
              <w:pStyle w:val="BodyText2"/>
              <w:rPr>
                <w:sz w:val="24"/>
              </w:rPr>
            </w:pPr>
          </w:p>
        </w:tc>
        <w:tc>
          <w:tcPr>
            <w:tcW w:w="1366" w:type="dxa"/>
          </w:tcPr>
          <w:p w14:paraId="203F5632" w14:textId="77777777" w:rsidR="003A367D" w:rsidRPr="00DD752E" w:rsidRDefault="003A367D" w:rsidP="00DD752E">
            <w:pPr>
              <w:pStyle w:val="BodyText2"/>
              <w:rPr>
                <w:sz w:val="24"/>
              </w:rPr>
            </w:pPr>
          </w:p>
        </w:tc>
        <w:tc>
          <w:tcPr>
            <w:tcW w:w="1466" w:type="dxa"/>
          </w:tcPr>
          <w:p w14:paraId="38DA8080" w14:textId="77777777" w:rsidR="003A367D" w:rsidRPr="00DD752E" w:rsidRDefault="003A367D" w:rsidP="00DD752E">
            <w:pPr>
              <w:pStyle w:val="BodyText2"/>
              <w:rPr>
                <w:sz w:val="24"/>
              </w:rPr>
            </w:pPr>
          </w:p>
        </w:tc>
        <w:tc>
          <w:tcPr>
            <w:tcW w:w="1366" w:type="dxa"/>
          </w:tcPr>
          <w:p w14:paraId="31807B27" w14:textId="77777777" w:rsidR="003A367D" w:rsidRPr="00DD752E" w:rsidRDefault="003A367D" w:rsidP="00DD752E">
            <w:pPr>
              <w:pStyle w:val="BodyText2"/>
              <w:rPr>
                <w:sz w:val="24"/>
              </w:rPr>
            </w:pPr>
          </w:p>
        </w:tc>
        <w:tc>
          <w:tcPr>
            <w:tcW w:w="1135" w:type="dxa"/>
          </w:tcPr>
          <w:p w14:paraId="29015A0A" w14:textId="77777777" w:rsidR="003A367D" w:rsidRPr="00DD752E" w:rsidRDefault="003A367D" w:rsidP="00DD752E">
            <w:pPr>
              <w:pStyle w:val="BodyText2"/>
              <w:rPr>
                <w:sz w:val="24"/>
              </w:rPr>
            </w:pPr>
          </w:p>
        </w:tc>
        <w:tc>
          <w:tcPr>
            <w:tcW w:w="1448" w:type="dxa"/>
          </w:tcPr>
          <w:p w14:paraId="33E8076D" w14:textId="77777777" w:rsidR="003A367D" w:rsidRPr="00DD752E" w:rsidRDefault="003A367D" w:rsidP="00DD752E">
            <w:pPr>
              <w:pStyle w:val="BodyText2"/>
              <w:rPr>
                <w:sz w:val="24"/>
              </w:rPr>
            </w:pPr>
          </w:p>
        </w:tc>
      </w:tr>
      <w:tr w:rsidR="00552DB6" w:rsidRPr="004E29B6" w14:paraId="3ECF4DE7" w14:textId="77777777" w:rsidTr="005A13C5">
        <w:tc>
          <w:tcPr>
            <w:tcW w:w="2694" w:type="dxa"/>
          </w:tcPr>
          <w:p w14:paraId="454D76E8" w14:textId="401F8F98" w:rsidR="003A367D" w:rsidRPr="00DD752E" w:rsidRDefault="003A367D" w:rsidP="00DD752E">
            <w:pPr>
              <w:jc w:val="both"/>
            </w:pPr>
            <w:r w:rsidRPr="00DD752E">
              <w:t>c) bugetul asigurărilor sociale</w:t>
            </w:r>
            <w:r w:rsidR="00CD13F8" w:rsidRPr="00DD752E">
              <w:t xml:space="preserve"> de stat</w:t>
            </w:r>
          </w:p>
          <w:p w14:paraId="551EFD10" w14:textId="6A1DCE03" w:rsidR="003A367D" w:rsidRPr="00DD752E" w:rsidRDefault="00CD28D5" w:rsidP="00DD752E">
            <w:pPr>
              <w:jc w:val="both"/>
            </w:pPr>
            <w:r w:rsidRPr="00DD752E">
              <w:t xml:space="preserve">(i) </w:t>
            </w:r>
            <w:r w:rsidR="003A367D" w:rsidRPr="00DD752E">
              <w:t>contribuţii de asigurări</w:t>
            </w:r>
          </w:p>
        </w:tc>
        <w:tc>
          <w:tcPr>
            <w:tcW w:w="1058" w:type="dxa"/>
          </w:tcPr>
          <w:p w14:paraId="20DF36E4" w14:textId="77777777" w:rsidR="003A367D" w:rsidRPr="00DD752E" w:rsidRDefault="003A367D" w:rsidP="00DD752E">
            <w:pPr>
              <w:pStyle w:val="BodyText2"/>
              <w:rPr>
                <w:sz w:val="24"/>
              </w:rPr>
            </w:pPr>
          </w:p>
        </w:tc>
        <w:tc>
          <w:tcPr>
            <w:tcW w:w="1366" w:type="dxa"/>
          </w:tcPr>
          <w:p w14:paraId="2E4987C5" w14:textId="77777777" w:rsidR="003A367D" w:rsidRPr="00DD752E" w:rsidRDefault="003A367D" w:rsidP="00DD752E">
            <w:pPr>
              <w:pStyle w:val="BodyText2"/>
              <w:rPr>
                <w:sz w:val="24"/>
              </w:rPr>
            </w:pPr>
          </w:p>
        </w:tc>
        <w:tc>
          <w:tcPr>
            <w:tcW w:w="1466" w:type="dxa"/>
          </w:tcPr>
          <w:p w14:paraId="55EA5A38" w14:textId="77777777" w:rsidR="003A367D" w:rsidRPr="00DD752E" w:rsidRDefault="003A367D" w:rsidP="00DD752E">
            <w:pPr>
              <w:pStyle w:val="BodyText2"/>
              <w:rPr>
                <w:sz w:val="24"/>
              </w:rPr>
            </w:pPr>
          </w:p>
        </w:tc>
        <w:tc>
          <w:tcPr>
            <w:tcW w:w="1366" w:type="dxa"/>
          </w:tcPr>
          <w:p w14:paraId="1A940564" w14:textId="77777777" w:rsidR="003A367D" w:rsidRPr="00DD752E" w:rsidRDefault="003A367D" w:rsidP="00DD752E">
            <w:pPr>
              <w:pStyle w:val="BodyText2"/>
              <w:rPr>
                <w:sz w:val="24"/>
              </w:rPr>
            </w:pPr>
          </w:p>
        </w:tc>
        <w:tc>
          <w:tcPr>
            <w:tcW w:w="1135" w:type="dxa"/>
          </w:tcPr>
          <w:p w14:paraId="3B9F8826" w14:textId="77777777" w:rsidR="003A367D" w:rsidRPr="00DD752E" w:rsidRDefault="003A367D" w:rsidP="00DD752E">
            <w:pPr>
              <w:pStyle w:val="BodyText2"/>
              <w:rPr>
                <w:sz w:val="24"/>
              </w:rPr>
            </w:pPr>
          </w:p>
        </w:tc>
        <w:tc>
          <w:tcPr>
            <w:tcW w:w="1448" w:type="dxa"/>
          </w:tcPr>
          <w:p w14:paraId="7236E3D5" w14:textId="77777777" w:rsidR="003A367D" w:rsidRPr="00DD752E" w:rsidRDefault="003A367D" w:rsidP="00DD752E">
            <w:pPr>
              <w:pStyle w:val="BodyText2"/>
              <w:rPr>
                <w:sz w:val="24"/>
              </w:rPr>
            </w:pPr>
          </w:p>
        </w:tc>
      </w:tr>
      <w:tr w:rsidR="00552DB6" w:rsidRPr="004E29B6" w14:paraId="3B61ACE7" w14:textId="77777777" w:rsidTr="005A13C5">
        <w:tc>
          <w:tcPr>
            <w:tcW w:w="2694" w:type="dxa"/>
          </w:tcPr>
          <w:p w14:paraId="62FD1E56" w14:textId="77777777" w:rsidR="003A367D" w:rsidRPr="00DD752E" w:rsidRDefault="003A367D" w:rsidP="00DD752E">
            <w:pPr>
              <w:jc w:val="both"/>
            </w:pPr>
            <w:r w:rsidRPr="00DD752E">
              <w:t xml:space="preserve">d) </w:t>
            </w:r>
            <w:r w:rsidR="00A20D72" w:rsidRPr="00DD752E">
              <w:t>alte tipuri de venituri</w:t>
            </w:r>
          </w:p>
          <w:p w14:paraId="5EB8BD87" w14:textId="4527B335" w:rsidR="00A20D72" w:rsidRPr="00DD752E" w:rsidRDefault="00A20D72" w:rsidP="00DD752E">
            <w:pPr>
              <w:jc w:val="both"/>
            </w:pPr>
            <w:r w:rsidRPr="00DD752E">
              <w:t>(</w:t>
            </w:r>
            <w:r w:rsidR="00EF284D" w:rsidRPr="00DD752E">
              <w:t>S</w:t>
            </w:r>
            <w:r w:rsidRPr="00DD752E">
              <w:t>e va menționa natura acestora</w:t>
            </w:r>
            <w:r w:rsidR="00A82648" w:rsidRPr="00DD752E">
              <w:t>.</w:t>
            </w:r>
            <w:r w:rsidRPr="00DD752E">
              <w:t xml:space="preserve">) </w:t>
            </w:r>
          </w:p>
        </w:tc>
        <w:tc>
          <w:tcPr>
            <w:tcW w:w="1058" w:type="dxa"/>
          </w:tcPr>
          <w:p w14:paraId="704BCA51" w14:textId="77777777" w:rsidR="003A367D" w:rsidRPr="00DD752E" w:rsidRDefault="003A367D" w:rsidP="00DD752E">
            <w:pPr>
              <w:pStyle w:val="BodyText2"/>
              <w:rPr>
                <w:sz w:val="24"/>
              </w:rPr>
            </w:pPr>
          </w:p>
        </w:tc>
        <w:tc>
          <w:tcPr>
            <w:tcW w:w="1366" w:type="dxa"/>
          </w:tcPr>
          <w:p w14:paraId="269D834F" w14:textId="77777777" w:rsidR="003A367D" w:rsidRPr="00DD752E" w:rsidRDefault="003A367D" w:rsidP="00DD752E">
            <w:pPr>
              <w:pStyle w:val="BodyText2"/>
              <w:rPr>
                <w:sz w:val="24"/>
              </w:rPr>
            </w:pPr>
          </w:p>
        </w:tc>
        <w:tc>
          <w:tcPr>
            <w:tcW w:w="1466" w:type="dxa"/>
          </w:tcPr>
          <w:p w14:paraId="03C3272C" w14:textId="77777777" w:rsidR="003A367D" w:rsidRPr="00DD752E" w:rsidRDefault="003A367D" w:rsidP="00DD752E">
            <w:pPr>
              <w:pStyle w:val="BodyText2"/>
              <w:rPr>
                <w:sz w:val="24"/>
              </w:rPr>
            </w:pPr>
          </w:p>
        </w:tc>
        <w:tc>
          <w:tcPr>
            <w:tcW w:w="1366" w:type="dxa"/>
          </w:tcPr>
          <w:p w14:paraId="70C282AC" w14:textId="77777777" w:rsidR="003A367D" w:rsidRPr="00DD752E" w:rsidRDefault="003A367D" w:rsidP="00DD752E">
            <w:pPr>
              <w:pStyle w:val="BodyText2"/>
              <w:rPr>
                <w:sz w:val="24"/>
              </w:rPr>
            </w:pPr>
          </w:p>
        </w:tc>
        <w:tc>
          <w:tcPr>
            <w:tcW w:w="1135" w:type="dxa"/>
          </w:tcPr>
          <w:p w14:paraId="711BE975" w14:textId="77777777" w:rsidR="003A367D" w:rsidRPr="00DD752E" w:rsidRDefault="003A367D" w:rsidP="00DD752E">
            <w:pPr>
              <w:pStyle w:val="BodyText2"/>
              <w:rPr>
                <w:sz w:val="24"/>
              </w:rPr>
            </w:pPr>
          </w:p>
        </w:tc>
        <w:tc>
          <w:tcPr>
            <w:tcW w:w="1448" w:type="dxa"/>
          </w:tcPr>
          <w:p w14:paraId="56D819C6" w14:textId="77777777" w:rsidR="003A367D" w:rsidRPr="00DD752E" w:rsidRDefault="003A367D" w:rsidP="00DD752E">
            <w:pPr>
              <w:pStyle w:val="BodyText2"/>
              <w:rPr>
                <w:sz w:val="24"/>
              </w:rPr>
            </w:pPr>
          </w:p>
        </w:tc>
      </w:tr>
      <w:tr w:rsidR="00552DB6" w:rsidRPr="004E29B6" w14:paraId="126F1061" w14:textId="77777777" w:rsidTr="005A13C5">
        <w:tc>
          <w:tcPr>
            <w:tcW w:w="2694" w:type="dxa"/>
          </w:tcPr>
          <w:p w14:paraId="1415B230" w14:textId="72A3E85F" w:rsidR="0025682E" w:rsidRPr="00DD752E" w:rsidRDefault="00CD28D5" w:rsidP="00DD752E">
            <w:pPr>
              <w:jc w:val="both"/>
              <w:rPr>
                <w:b/>
                <w:bCs/>
              </w:rPr>
            </w:pPr>
            <w:r w:rsidRPr="00DD752E">
              <w:rPr>
                <w:b/>
                <w:bCs/>
              </w:rPr>
              <w:t>4.</w:t>
            </w:r>
            <w:r w:rsidR="00ED5D29" w:rsidRPr="00DD752E">
              <w:rPr>
                <w:b/>
                <w:bCs/>
              </w:rPr>
              <w:t>2.</w:t>
            </w:r>
            <w:r w:rsidRPr="00DD752E">
              <w:rPr>
                <w:b/>
                <w:bCs/>
              </w:rPr>
              <w:t xml:space="preserve"> </w:t>
            </w:r>
            <w:r w:rsidR="00ED5D29" w:rsidRPr="00DD752E">
              <w:rPr>
                <w:b/>
                <w:bCs/>
              </w:rPr>
              <w:t>Modificări ale cheltuielilor bugetare</w:t>
            </w:r>
            <w:r w:rsidR="00A82648" w:rsidRPr="00DD752E">
              <w:rPr>
                <w:b/>
                <w:bCs/>
              </w:rPr>
              <w:t>, plus/minus,</w:t>
            </w:r>
            <w:r w:rsidR="00ED5D29" w:rsidRPr="00DD752E">
              <w:rPr>
                <w:b/>
                <w:bCs/>
              </w:rPr>
              <w:t xml:space="preserve"> din care:</w:t>
            </w:r>
          </w:p>
        </w:tc>
        <w:tc>
          <w:tcPr>
            <w:tcW w:w="1058" w:type="dxa"/>
          </w:tcPr>
          <w:p w14:paraId="7BB1C451" w14:textId="3A3864A6" w:rsidR="00E62BA0" w:rsidRPr="00DD752E" w:rsidRDefault="00E62BA0" w:rsidP="00DD752E">
            <w:pPr>
              <w:jc w:val="center"/>
            </w:pPr>
          </w:p>
        </w:tc>
        <w:tc>
          <w:tcPr>
            <w:tcW w:w="1366" w:type="dxa"/>
          </w:tcPr>
          <w:p w14:paraId="44C5A3FF" w14:textId="75FE5CBB" w:rsidR="00E62BA0" w:rsidRPr="00DD752E" w:rsidRDefault="00E62BA0" w:rsidP="00DD752E">
            <w:pPr>
              <w:jc w:val="center"/>
            </w:pPr>
          </w:p>
        </w:tc>
        <w:tc>
          <w:tcPr>
            <w:tcW w:w="1466" w:type="dxa"/>
          </w:tcPr>
          <w:p w14:paraId="1702DFD2" w14:textId="6D9B32F2" w:rsidR="00E62BA0" w:rsidRPr="00DD752E" w:rsidRDefault="00E62BA0" w:rsidP="00DD752E">
            <w:pPr>
              <w:jc w:val="center"/>
            </w:pPr>
          </w:p>
        </w:tc>
        <w:tc>
          <w:tcPr>
            <w:tcW w:w="1366" w:type="dxa"/>
          </w:tcPr>
          <w:p w14:paraId="1D7B38D6" w14:textId="659DB0F9" w:rsidR="00E62BA0" w:rsidRPr="00DD752E" w:rsidRDefault="00E62BA0" w:rsidP="00DD752E">
            <w:pPr>
              <w:jc w:val="center"/>
            </w:pPr>
          </w:p>
        </w:tc>
        <w:tc>
          <w:tcPr>
            <w:tcW w:w="1135" w:type="dxa"/>
          </w:tcPr>
          <w:p w14:paraId="09F7CD9E" w14:textId="2AFA766B" w:rsidR="00E62BA0" w:rsidRPr="00DD752E" w:rsidRDefault="00E62BA0" w:rsidP="00DD752E">
            <w:pPr>
              <w:jc w:val="center"/>
            </w:pPr>
          </w:p>
        </w:tc>
        <w:tc>
          <w:tcPr>
            <w:tcW w:w="1448" w:type="dxa"/>
          </w:tcPr>
          <w:p w14:paraId="16493B27" w14:textId="191A8F5C" w:rsidR="00E62BA0" w:rsidRPr="00DD752E" w:rsidRDefault="00E62BA0" w:rsidP="00DD752E">
            <w:pPr>
              <w:jc w:val="center"/>
            </w:pPr>
          </w:p>
        </w:tc>
      </w:tr>
      <w:tr w:rsidR="00552DB6" w:rsidRPr="004E29B6" w14:paraId="408E6817" w14:textId="77777777" w:rsidTr="005A13C5">
        <w:tc>
          <w:tcPr>
            <w:tcW w:w="2694" w:type="dxa"/>
          </w:tcPr>
          <w:p w14:paraId="2D265B20" w14:textId="19563007" w:rsidR="00CD28D5" w:rsidRPr="00DD752E" w:rsidRDefault="00CD28D5" w:rsidP="00DD752E">
            <w:pPr>
              <w:jc w:val="both"/>
            </w:pPr>
            <w:r w:rsidRPr="00DD752E">
              <w:lastRenderedPageBreak/>
              <w:t>a) buget de stat, din acesta:</w:t>
            </w:r>
          </w:p>
          <w:p w14:paraId="3382ADB9" w14:textId="31517959" w:rsidR="00CD28D5" w:rsidRPr="00DD752E" w:rsidRDefault="00CD28D5" w:rsidP="00DD752E">
            <w:pPr>
              <w:jc w:val="both"/>
            </w:pPr>
            <w:r w:rsidRPr="00DD752E">
              <w:t>(i) cheltuieli de personal</w:t>
            </w:r>
          </w:p>
          <w:p w14:paraId="2AF2C20C" w14:textId="24F90ED4" w:rsidR="00CD28D5" w:rsidRPr="00DD752E" w:rsidRDefault="00CD28D5" w:rsidP="00DD752E">
            <w:pPr>
              <w:jc w:val="both"/>
            </w:pPr>
            <w:r w:rsidRPr="00DD752E">
              <w:t>(ii) bunuri şi servicii</w:t>
            </w:r>
          </w:p>
        </w:tc>
        <w:tc>
          <w:tcPr>
            <w:tcW w:w="1058" w:type="dxa"/>
          </w:tcPr>
          <w:p w14:paraId="3E0B1602" w14:textId="77777777" w:rsidR="00CD28D5" w:rsidRPr="00DD752E" w:rsidRDefault="00CD28D5" w:rsidP="00DD752E">
            <w:pPr>
              <w:jc w:val="center"/>
            </w:pPr>
          </w:p>
        </w:tc>
        <w:tc>
          <w:tcPr>
            <w:tcW w:w="1366" w:type="dxa"/>
          </w:tcPr>
          <w:p w14:paraId="4A5827CA" w14:textId="77777777" w:rsidR="00CD28D5" w:rsidRPr="00DD752E" w:rsidRDefault="00CD28D5" w:rsidP="00DD752E">
            <w:pPr>
              <w:jc w:val="center"/>
            </w:pPr>
          </w:p>
        </w:tc>
        <w:tc>
          <w:tcPr>
            <w:tcW w:w="1466" w:type="dxa"/>
          </w:tcPr>
          <w:p w14:paraId="32FB3ACA" w14:textId="77777777" w:rsidR="00CD28D5" w:rsidRPr="00DD752E" w:rsidRDefault="00CD28D5" w:rsidP="00DD752E">
            <w:pPr>
              <w:jc w:val="center"/>
            </w:pPr>
          </w:p>
        </w:tc>
        <w:tc>
          <w:tcPr>
            <w:tcW w:w="1366" w:type="dxa"/>
          </w:tcPr>
          <w:p w14:paraId="6B0B1905" w14:textId="77777777" w:rsidR="00CD28D5" w:rsidRPr="00DD752E" w:rsidRDefault="00CD28D5" w:rsidP="00DD752E">
            <w:pPr>
              <w:jc w:val="center"/>
            </w:pPr>
          </w:p>
        </w:tc>
        <w:tc>
          <w:tcPr>
            <w:tcW w:w="1135" w:type="dxa"/>
          </w:tcPr>
          <w:p w14:paraId="23CBB327" w14:textId="77777777" w:rsidR="00CD28D5" w:rsidRPr="00DD752E" w:rsidRDefault="00CD28D5" w:rsidP="00DD752E">
            <w:pPr>
              <w:jc w:val="center"/>
            </w:pPr>
          </w:p>
        </w:tc>
        <w:tc>
          <w:tcPr>
            <w:tcW w:w="1448" w:type="dxa"/>
          </w:tcPr>
          <w:p w14:paraId="58A4AD04" w14:textId="77777777" w:rsidR="00CD28D5" w:rsidRPr="00DD752E" w:rsidRDefault="00CD28D5" w:rsidP="00DD752E">
            <w:pPr>
              <w:jc w:val="center"/>
            </w:pPr>
          </w:p>
        </w:tc>
      </w:tr>
      <w:tr w:rsidR="00552DB6" w:rsidRPr="004E29B6" w14:paraId="247EA305" w14:textId="77777777" w:rsidTr="005A13C5">
        <w:tc>
          <w:tcPr>
            <w:tcW w:w="2694" w:type="dxa"/>
          </w:tcPr>
          <w:p w14:paraId="1413F8FD" w14:textId="15D4A2BF" w:rsidR="00CD28D5" w:rsidRPr="00DD752E" w:rsidRDefault="00CD28D5" w:rsidP="00DD752E">
            <w:pPr>
              <w:jc w:val="both"/>
            </w:pPr>
            <w:r w:rsidRPr="00DD752E">
              <w:t>b)</w:t>
            </w:r>
            <w:r w:rsidR="00CD13F8" w:rsidRPr="00DD752E">
              <w:t xml:space="preserve"> </w:t>
            </w:r>
            <w:r w:rsidRPr="00DD752E">
              <w:t>bugete locale:</w:t>
            </w:r>
          </w:p>
          <w:p w14:paraId="5D43B430" w14:textId="0375DEBE" w:rsidR="00CD28D5" w:rsidRPr="00DD752E" w:rsidRDefault="00CD28D5" w:rsidP="00DD752E">
            <w:pPr>
              <w:jc w:val="both"/>
            </w:pPr>
            <w:r w:rsidRPr="00DD752E">
              <w:t>(i) cheltuieli de personal</w:t>
            </w:r>
          </w:p>
          <w:p w14:paraId="5FAAC7DC" w14:textId="3646E615" w:rsidR="00CD28D5" w:rsidRPr="00DD752E" w:rsidRDefault="00CD28D5" w:rsidP="00DD752E">
            <w:pPr>
              <w:jc w:val="both"/>
            </w:pPr>
            <w:r w:rsidRPr="00DD752E">
              <w:t>(ii) bunuri şi servicii</w:t>
            </w:r>
          </w:p>
        </w:tc>
        <w:tc>
          <w:tcPr>
            <w:tcW w:w="1058" w:type="dxa"/>
          </w:tcPr>
          <w:p w14:paraId="35C2339D" w14:textId="77777777" w:rsidR="00CD28D5" w:rsidRPr="00DD752E" w:rsidRDefault="00CD28D5" w:rsidP="00DD752E">
            <w:pPr>
              <w:jc w:val="center"/>
            </w:pPr>
          </w:p>
        </w:tc>
        <w:tc>
          <w:tcPr>
            <w:tcW w:w="1366" w:type="dxa"/>
          </w:tcPr>
          <w:p w14:paraId="7642EF10" w14:textId="77777777" w:rsidR="00CD28D5" w:rsidRPr="00DD752E" w:rsidRDefault="00CD28D5" w:rsidP="00DD752E">
            <w:pPr>
              <w:jc w:val="center"/>
            </w:pPr>
          </w:p>
        </w:tc>
        <w:tc>
          <w:tcPr>
            <w:tcW w:w="1466" w:type="dxa"/>
          </w:tcPr>
          <w:p w14:paraId="00DA41A3" w14:textId="77777777" w:rsidR="00CD28D5" w:rsidRPr="00DD752E" w:rsidRDefault="00CD28D5" w:rsidP="00DD752E">
            <w:pPr>
              <w:jc w:val="center"/>
            </w:pPr>
          </w:p>
        </w:tc>
        <w:tc>
          <w:tcPr>
            <w:tcW w:w="1366" w:type="dxa"/>
          </w:tcPr>
          <w:p w14:paraId="5014B167" w14:textId="77777777" w:rsidR="00CD28D5" w:rsidRPr="00DD752E" w:rsidRDefault="00CD28D5" w:rsidP="00DD752E">
            <w:pPr>
              <w:jc w:val="center"/>
            </w:pPr>
          </w:p>
        </w:tc>
        <w:tc>
          <w:tcPr>
            <w:tcW w:w="1135" w:type="dxa"/>
          </w:tcPr>
          <w:p w14:paraId="44E6962F" w14:textId="77777777" w:rsidR="00CD28D5" w:rsidRPr="00DD752E" w:rsidRDefault="00CD28D5" w:rsidP="00DD752E">
            <w:pPr>
              <w:jc w:val="center"/>
            </w:pPr>
          </w:p>
        </w:tc>
        <w:tc>
          <w:tcPr>
            <w:tcW w:w="1448" w:type="dxa"/>
          </w:tcPr>
          <w:p w14:paraId="5D1C5F3E" w14:textId="77777777" w:rsidR="00CD28D5" w:rsidRPr="00DD752E" w:rsidRDefault="00CD28D5" w:rsidP="00DD752E">
            <w:pPr>
              <w:jc w:val="center"/>
            </w:pPr>
          </w:p>
        </w:tc>
      </w:tr>
      <w:tr w:rsidR="00552DB6" w:rsidRPr="004E29B6" w14:paraId="64A76806" w14:textId="77777777" w:rsidTr="005A13C5">
        <w:tc>
          <w:tcPr>
            <w:tcW w:w="2694" w:type="dxa"/>
          </w:tcPr>
          <w:p w14:paraId="30172BDF" w14:textId="0D2320D4" w:rsidR="00CD13F8" w:rsidRPr="00DD752E" w:rsidRDefault="00CD13F8" w:rsidP="00DD752E">
            <w:pPr>
              <w:jc w:val="both"/>
            </w:pPr>
            <w:r w:rsidRPr="00DD752E">
              <w:t>c) bugetul asigurărilor sociale de stat:</w:t>
            </w:r>
          </w:p>
          <w:p w14:paraId="03FADADD" w14:textId="1EB62078" w:rsidR="00CD13F8" w:rsidRPr="00DD752E" w:rsidRDefault="00CD13F8" w:rsidP="00DD752E">
            <w:pPr>
              <w:jc w:val="both"/>
            </w:pPr>
            <w:r w:rsidRPr="00DD752E">
              <w:t>(i) cheltuieli de personal</w:t>
            </w:r>
          </w:p>
          <w:p w14:paraId="55656529" w14:textId="757B5B4C" w:rsidR="00CD13F8" w:rsidRPr="00DD752E" w:rsidRDefault="00CD13F8" w:rsidP="00DD752E">
            <w:pPr>
              <w:jc w:val="both"/>
            </w:pPr>
            <w:r w:rsidRPr="00DD752E">
              <w:t>(ii) bunuri şi servicii</w:t>
            </w:r>
          </w:p>
        </w:tc>
        <w:tc>
          <w:tcPr>
            <w:tcW w:w="1058" w:type="dxa"/>
          </w:tcPr>
          <w:p w14:paraId="2DE6BAAD" w14:textId="77777777" w:rsidR="00CD13F8" w:rsidRPr="00DD752E" w:rsidRDefault="00CD13F8" w:rsidP="00DD752E">
            <w:pPr>
              <w:jc w:val="center"/>
            </w:pPr>
          </w:p>
        </w:tc>
        <w:tc>
          <w:tcPr>
            <w:tcW w:w="1366" w:type="dxa"/>
          </w:tcPr>
          <w:p w14:paraId="07943E17" w14:textId="77777777" w:rsidR="00CD13F8" w:rsidRPr="00DD752E" w:rsidRDefault="00CD13F8" w:rsidP="00DD752E">
            <w:pPr>
              <w:jc w:val="center"/>
            </w:pPr>
          </w:p>
        </w:tc>
        <w:tc>
          <w:tcPr>
            <w:tcW w:w="1466" w:type="dxa"/>
          </w:tcPr>
          <w:p w14:paraId="5D1EB785" w14:textId="77777777" w:rsidR="00CD13F8" w:rsidRPr="00DD752E" w:rsidRDefault="00CD13F8" w:rsidP="00DD752E">
            <w:pPr>
              <w:jc w:val="center"/>
            </w:pPr>
          </w:p>
        </w:tc>
        <w:tc>
          <w:tcPr>
            <w:tcW w:w="1366" w:type="dxa"/>
          </w:tcPr>
          <w:p w14:paraId="7E7347DF" w14:textId="77777777" w:rsidR="00CD13F8" w:rsidRPr="00DD752E" w:rsidRDefault="00CD13F8" w:rsidP="00DD752E">
            <w:pPr>
              <w:jc w:val="center"/>
            </w:pPr>
          </w:p>
        </w:tc>
        <w:tc>
          <w:tcPr>
            <w:tcW w:w="1135" w:type="dxa"/>
          </w:tcPr>
          <w:p w14:paraId="27993F0F" w14:textId="77777777" w:rsidR="00CD13F8" w:rsidRPr="00DD752E" w:rsidRDefault="00CD13F8" w:rsidP="00DD752E">
            <w:pPr>
              <w:jc w:val="center"/>
            </w:pPr>
          </w:p>
        </w:tc>
        <w:tc>
          <w:tcPr>
            <w:tcW w:w="1448" w:type="dxa"/>
          </w:tcPr>
          <w:p w14:paraId="3D14DE78" w14:textId="77777777" w:rsidR="00CD13F8" w:rsidRPr="00DD752E" w:rsidRDefault="00CD13F8" w:rsidP="00DD752E">
            <w:pPr>
              <w:jc w:val="center"/>
            </w:pPr>
          </w:p>
        </w:tc>
      </w:tr>
      <w:tr w:rsidR="00552DB6" w:rsidRPr="004E29B6" w14:paraId="5C3A403A" w14:textId="77777777" w:rsidTr="005A13C5">
        <w:tc>
          <w:tcPr>
            <w:tcW w:w="2694" w:type="dxa"/>
          </w:tcPr>
          <w:p w14:paraId="3BF8A849" w14:textId="176DF995" w:rsidR="00EF284D" w:rsidRPr="00DD752E" w:rsidRDefault="00EF284D" w:rsidP="00DD752E">
            <w:pPr>
              <w:jc w:val="both"/>
            </w:pPr>
            <w:r w:rsidRPr="00DD752E">
              <w:t xml:space="preserve">d) alte tipuri de </w:t>
            </w:r>
            <w:r w:rsidR="00A82648" w:rsidRPr="00DD752E">
              <w:t>cheltuieli</w:t>
            </w:r>
          </w:p>
          <w:p w14:paraId="359EE9C4" w14:textId="710C86CB" w:rsidR="00EF284D" w:rsidRPr="00DD752E" w:rsidRDefault="00EF284D" w:rsidP="00DD752E">
            <w:pPr>
              <w:jc w:val="both"/>
            </w:pPr>
            <w:r w:rsidRPr="00DD752E">
              <w:t>(Se va menționa natura acestora</w:t>
            </w:r>
            <w:r w:rsidR="00A82648" w:rsidRPr="00DD752E">
              <w:t>.</w:t>
            </w:r>
            <w:r w:rsidRPr="00DD752E">
              <w:t>)</w:t>
            </w:r>
          </w:p>
        </w:tc>
        <w:tc>
          <w:tcPr>
            <w:tcW w:w="1058" w:type="dxa"/>
          </w:tcPr>
          <w:p w14:paraId="2C7AC338" w14:textId="77777777" w:rsidR="00EF284D" w:rsidRPr="00DD752E" w:rsidRDefault="00EF284D" w:rsidP="00DD752E">
            <w:pPr>
              <w:jc w:val="center"/>
            </w:pPr>
          </w:p>
        </w:tc>
        <w:tc>
          <w:tcPr>
            <w:tcW w:w="1366" w:type="dxa"/>
          </w:tcPr>
          <w:p w14:paraId="7CA00BF7" w14:textId="77777777" w:rsidR="00EF284D" w:rsidRPr="00DD752E" w:rsidRDefault="00EF284D" w:rsidP="00DD752E">
            <w:pPr>
              <w:jc w:val="center"/>
            </w:pPr>
          </w:p>
        </w:tc>
        <w:tc>
          <w:tcPr>
            <w:tcW w:w="1466" w:type="dxa"/>
          </w:tcPr>
          <w:p w14:paraId="22F7EDA8" w14:textId="77777777" w:rsidR="00EF284D" w:rsidRPr="00DD752E" w:rsidRDefault="00EF284D" w:rsidP="00DD752E">
            <w:pPr>
              <w:jc w:val="center"/>
            </w:pPr>
          </w:p>
        </w:tc>
        <w:tc>
          <w:tcPr>
            <w:tcW w:w="1366" w:type="dxa"/>
          </w:tcPr>
          <w:p w14:paraId="1C65014D" w14:textId="77777777" w:rsidR="00EF284D" w:rsidRPr="00DD752E" w:rsidRDefault="00EF284D" w:rsidP="00DD752E">
            <w:pPr>
              <w:jc w:val="center"/>
            </w:pPr>
          </w:p>
        </w:tc>
        <w:tc>
          <w:tcPr>
            <w:tcW w:w="1135" w:type="dxa"/>
          </w:tcPr>
          <w:p w14:paraId="69EFB472" w14:textId="77777777" w:rsidR="00EF284D" w:rsidRPr="00DD752E" w:rsidRDefault="00EF284D" w:rsidP="00DD752E">
            <w:pPr>
              <w:jc w:val="center"/>
            </w:pPr>
          </w:p>
        </w:tc>
        <w:tc>
          <w:tcPr>
            <w:tcW w:w="1448" w:type="dxa"/>
          </w:tcPr>
          <w:p w14:paraId="2BEA7293" w14:textId="77777777" w:rsidR="00EF284D" w:rsidRPr="00DD752E" w:rsidRDefault="00EF284D" w:rsidP="00DD752E">
            <w:pPr>
              <w:jc w:val="center"/>
            </w:pPr>
          </w:p>
        </w:tc>
      </w:tr>
      <w:tr w:rsidR="00552DB6" w:rsidRPr="004E29B6" w14:paraId="6E9F3798" w14:textId="77777777" w:rsidTr="005A13C5">
        <w:tc>
          <w:tcPr>
            <w:tcW w:w="2694" w:type="dxa"/>
          </w:tcPr>
          <w:p w14:paraId="1C49C2EC" w14:textId="77777777" w:rsidR="00A75729" w:rsidRPr="00DD752E" w:rsidRDefault="00A75729" w:rsidP="00DD752E">
            <w:pPr>
              <w:jc w:val="both"/>
              <w:rPr>
                <w:b/>
                <w:bCs/>
              </w:rPr>
            </w:pPr>
            <w:r w:rsidRPr="00DD752E">
              <w:rPr>
                <w:b/>
                <w:bCs/>
              </w:rPr>
              <w:t>4.3. Impact financiar, plus/minus, din care:</w:t>
            </w:r>
          </w:p>
          <w:p w14:paraId="656BFCEC" w14:textId="54C7982C" w:rsidR="00A75729" w:rsidRPr="00DD752E" w:rsidRDefault="00A75729" w:rsidP="00DD752E">
            <w:pPr>
              <w:jc w:val="both"/>
            </w:pPr>
            <w:r w:rsidRPr="00DD752E">
              <w:t>a) buget de stat</w:t>
            </w:r>
          </w:p>
        </w:tc>
        <w:tc>
          <w:tcPr>
            <w:tcW w:w="1058" w:type="dxa"/>
          </w:tcPr>
          <w:p w14:paraId="7AD2D601" w14:textId="77777777" w:rsidR="00A75729" w:rsidRPr="00DD752E" w:rsidRDefault="00A75729" w:rsidP="00DD752E">
            <w:pPr>
              <w:jc w:val="center"/>
            </w:pPr>
          </w:p>
        </w:tc>
        <w:tc>
          <w:tcPr>
            <w:tcW w:w="1366" w:type="dxa"/>
          </w:tcPr>
          <w:p w14:paraId="0568D044" w14:textId="77777777" w:rsidR="00A75729" w:rsidRPr="00DD752E" w:rsidRDefault="00A75729" w:rsidP="00DD752E">
            <w:pPr>
              <w:jc w:val="center"/>
            </w:pPr>
          </w:p>
        </w:tc>
        <w:tc>
          <w:tcPr>
            <w:tcW w:w="1466" w:type="dxa"/>
          </w:tcPr>
          <w:p w14:paraId="210A6366" w14:textId="77777777" w:rsidR="00A75729" w:rsidRPr="00DD752E" w:rsidRDefault="00A75729" w:rsidP="00DD752E">
            <w:pPr>
              <w:jc w:val="center"/>
            </w:pPr>
          </w:p>
        </w:tc>
        <w:tc>
          <w:tcPr>
            <w:tcW w:w="1366" w:type="dxa"/>
          </w:tcPr>
          <w:p w14:paraId="2693F75B" w14:textId="77777777" w:rsidR="00A75729" w:rsidRPr="00DD752E" w:rsidRDefault="00A75729" w:rsidP="00DD752E">
            <w:pPr>
              <w:jc w:val="center"/>
            </w:pPr>
          </w:p>
        </w:tc>
        <w:tc>
          <w:tcPr>
            <w:tcW w:w="1135" w:type="dxa"/>
          </w:tcPr>
          <w:p w14:paraId="1585137C" w14:textId="77777777" w:rsidR="00A75729" w:rsidRPr="00DD752E" w:rsidRDefault="00A75729" w:rsidP="00DD752E">
            <w:pPr>
              <w:jc w:val="center"/>
            </w:pPr>
          </w:p>
        </w:tc>
        <w:tc>
          <w:tcPr>
            <w:tcW w:w="1448" w:type="dxa"/>
          </w:tcPr>
          <w:p w14:paraId="2D494315" w14:textId="77777777" w:rsidR="00A75729" w:rsidRPr="00DD752E" w:rsidRDefault="00A75729" w:rsidP="00DD752E">
            <w:pPr>
              <w:jc w:val="center"/>
            </w:pPr>
          </w:p>
        </w:tc>
      </w:tr>
      <w:tr w:rsidR="00552DB6" w:rsidRPr="004E29B6" w14:paraId="3177FEF7" w14:textId="77777777" w:rsidTr="005A13C5">
        <w:tc>
          <w:tcPr>
            <w:tcW w:w="2694" w:type="dxa"/>
          </w:tcPr>
          <w:p w14:paraId="33908C4A" w14:textId="118E34DE" w:rsidR="00A75729" w:rsidRPr="00DD752E" w:rsidRDefault="00A75729" w:rsidP="00DD752E">
            <w:pPr>
              <w:jc w:val="both"/>
            </w:pPr>
            <w:r w:rsidRPr="00DD752E">
              <w:t>b) bugete locale</w:t>
            </w:r>
          </w:p>
        </w:tc>
        <w:tc>
          <w:tcPr>
            <w:tcW w:w="1058" w:type="dxa"/>
          </w:tcPr>
          <w:p w14:paraId="4B62CC0C" w14:textId="77777777" w:rsidR="00A75729" w:rsidRPr="00DD752E" w:rsidRDefault="00A75729" w:rsidP="00DD752E">
            <w:pPr>
              <w:jc w:val="center"/>
            </w:pPr>
          </w:p>
        </w:tc>
        <w:tc>
          <w:tcPr>
            <w:tcW w:w="1366" w:type="dxa"/>
          </w:tcPr>
          <w:p w14:paraId="283AC80B" w14:textId="77777777" w:rsidR="00A75729" w:rsidRPr="00DD752E" w:rsidRDefault="00A75729" w:rsidP="00DD752E">
            <w:pPr>
              <w:jc w:val="center"/>
            </w:pPr>
          </w:p>
        </w:tc>
        <w:tc>
          <w:tcPr>
            <w:tcW w:w="1466" w:type="dxa"/>
          </w:tcPr>
          <w:p w14:paraId="7219261C" w14:textId="77777777" w:rsidR="00A75729" w:rsidRPr="00DD752E" w:rsidRDefault="00A75729" w:rsidP="00DD752E">
            <w:pPr>
              <w:jc w:val="center"/>
            </w:pPr>
          </w:p>
        </w:tc>
        <w:tc>
          <w:tcPr>
            <w:tcW w:w="1366" w:type="dxa"/>
          </w:tcPr>
          <w:p w14:paraId="49D7F163" w14:textId="77777777" w:rsidR="00A75729" w:rsidRPr="00DD752E" w:rsidRDefault="00A75729" w:rsidP="00DD752E">
            <w:pPr>
              <w:jc w:val="center"/>
            </w:pPr>
          </w:p>
        </w:tc>
        <w:tc>
          <w:tcPr>
            <w:tcW w:w="1135" w:type="dxa"/>
          </w:tcPr>
          <w:p w14:paraId="7C544E7C" w14:textId="77777777" w:rsidR="00A75729" w:rsidRPr="00DD752E" w:rsidRDefault="00A75729" w:rsidP="00DD752E">
            <w:pPr>
              <w:jc w:val="center"/>
            </w:pPr>
          </w:p>
        </w:tc>
        <w:tc>
          <w:tcPr>
            <w:tcW w:w="1448" w:type="dxa"/>
          </w:tcPr>
          <w:p w14:paraId="4953DDFD" w14:textId="77777777" w:rsidR="00A75729" w:rsidRPr="00DD752E" w:rsidRDefault="00A75729" w:rsidP="00DD752E">
            <w:pPr>
              <w:jc w:val="center"/>
            </w:pPr>
          </w:p>
        </w:tc>
      </w:tr>
      <w:tr w:rsidR="00552DB6" w:rsidRPr="004E29B6" w14:paraId="4B985901" w14:textId="77777777" w:rsidTr="005A13C5">
        <w:tc>
          <w:tcPr>
            <w:tcW w:w="2694" w:type="dxa"/>
          </w:tcPr>
          <w:p w14:paraId="41F94191" w14:textId="4D675AF2" w:rsidR="00A75729" w:rsidRPr="00DD752E" w:rsidRDefault="00A75729" w:rsidP="00DD752E">
            <w:pPr>
              <w:jc w:val="both"/>
              <w:rPr>
                <w:b/>
                <w:bCs/>
              </w:rPr>
            </w:pPr>
            <w:r w:rsidRPr="00DD752E">
              <w:rPr>
                <w:b/>
                <w:bCs/>
              </w:rPr>
              <w:t>4.4. Propuneri pentru acoperirea creşterii cheltuielilor bugetare</w:t>
            </w:r>
          </w:p>
        </w:tc>
        <w:tc>
          <w:tcPr>
            <w:tcW w:w="1058" w:type="dxa"/>
          </w:tcPr>
          <w:p w14:paraId="12553E7B" w14:textId="77777777" w:rsidR="00A75729" w:rsidRPr="00DD752E" w:rsidRDefault="00A75729" w:rsidP="00DD752E">
            <w:pPr>
              <w:jc w:val="center"/>
            </w:pPr>
          </w:p>
        </w:tc>
        <w:tc>
          <w:tcPr>
            <w:tcW w:w="1366" w:type="dxa"/>
          </w:tcPr>
          <w:p w14:paraId="6B4AB040" w14:textId="77777777" w:rsidR="00A75729" w:rsidRPr="00DD752E" w:rsidRDefault="00A75729" w:rsidP="00DD752E">
            <w:pPr>
              <w:jc w:val="center"/>
            </w:pPr>
          </w:p>
        </w:tc>
        <w:tc>
          <w:tcPr>
            <w:tcW w:w="1466" w:type="dxa"/>
          </w:tcPr>
          <w:p w14:paraId="2B58709A" w14:textId="77777777" w:rsidR="00A75729" w:rsidRPr="00DD752E" w:rsidRDefault="00A75729" w:rsidP="00DD752E">
            <w:pPr>
              <w:jc w:val="center"/>
            </w:pPr>
          </w:p>
        </w:tc>
        <w:tc>
          <w:tcPr>
            <w:tcW w:w="1366" w:type="dxa"/>
          </w:tcPr>
          <w:p w14:paraId="7AE48667" w14:textId="77777777" w:rsidR="00A75729" w:rsidRPr="00DD752E" w:rsidRDefault="00A75729" w:rsidP="00DD752E">
            <w:pPr>
              <w:jc w:val="center"/>
            </w:pPr>
          </w:p>
        </w:tc>
        <w:tc>
          <w:tcPr>
            <w:tcW w:w="1135" w:type="dxa"/>
          </w:tcPr>
          <w:p w14:paraId="2C05220B" w14:textId="77777777" w:rsidR="00A75729" w:rsidRPr="00DD752E" w:rsidRDefault="00A75729" w:rsidP="00DD752E">
            <w:pPr>
              <w:jc w:val="center"/>
            </w:pPr>
          </w:p>
        </w:tc>
        <w:tc>
          <w:tcPr>
            <w:tcW w:w="1448" w:type="dxa"/>
          </w:tcPr>
          <w:p w14:paraId="5BF7C6F4" w14:textId="77777777" w:rsidR="00A75729" w:rsidRPr="00DD752E" w:rsidRDefault="00A75729" w:rsidP="00DD752E">
            <w:pPr>
              <w:jc w:val="center"/>
            </w:pPr>
          </w:p>
        </w:tc>
      </w:tr>
      <w:tr w:rsidR="00552DB6" w:rsidRPr="004E29B6" w14:paraId="0936FEC1" w14:textId="77777777" w:rsidTr="005A13C5">
        <w:tc>
          <w:tcPr>
            <w:tcW w:w="2694" w:type="dxa"/>
          </w:tcPr>
          <w:p w14:paraId="31602873" w14:textId="19763228" w:rsidR="00A75729" w:rsidRPr="00DD752E" w:rsidRDefault="00A75729" w:rsidP="00DD752E">
            <w:pPr>
              <w:jc w:val="both"/>
              <w:rPr>
                <w:b/>
                <w:bCs/>
              </w:rPr>
            </w:pPr>
            <w:r w:rsidRPr="00DD752E">
              <w:rPr>
                <w:b/>
                <w:bCs/>
              </w:rPr>
              <w:t>4.5. Propuneri pentru a compensa reducerea veniturilor bugetare</w:t>
            </w:r>
          </w:p>
        </w:tc>
        <w:tc>
          <w:tcPr>
            <w:tcW w:w="1058" w:type="dxa"/>
          </w:tcPr>
          <w:p w14:paraId="50FCA196" w14:textId="77777777" w:rsidR="00A75729" w:rsidRPr="00DD752E" w:rsidRDefault="00A75729" w:rsidP="00DD752E">
            <w:pPr>
              <w:jc w:val="center"/>
            </w:pPr>
          </w:p>
        </w:tc>
        <w:tc>
          <w:tcPr>
            <w:tcW w:w="1366" w:type="dxa"/>
          </w:tcPr>
          <w:p w14:paraId="06CFE138" w14:textId="77777777" w:rsidR="00A75729" w:rsidRPr="00DD752E" w:rsidRDefault="00A75729" w:rsidP="00DD752E">
            <w:pPr>
              <w:jc w:val="center"/>
            </w:pPr>
          </w:p>
        </w:tc>
        <w:tc>
          <w:tcPr>
            <w:tcW w:w="1466" w:type="dxa"/>
          </w:tcPr>
          <w:p w14:paraId="6FFFE022" w14:textId="77777777" w:rsidR="00A75729" w:rsidRPr="00DD752E" w:rsidRDefault="00A75729" w:rsidP="00DD752E">
            <w:pPr>
              <w:jc w:val="center"/>
            </w:pPr>
          </w:p>
        </w:tc>
        <w:tc>
          <w:tcPr>
            <w:tcW w:w="1366" w:type="dxa"/>
          </w:tcPr>
          <w:p w14:paraId="46465A6F" w14:textId="77777777" w:rsidR="00A75729" w:rsidRPr="00DD752E" w:rsidRDefault="00A75729" w:rsidP="00DD752E">
            <w:pPr>
              <w:jc w:val="center"/>
            </w:pPr>
          </w:p>
        </w:tc>
        <w:tc>
          <w:tcPr>
            <w:tcW w:w="1135" w:type="dxa"/>
          </w:tcPr>
          <w:p w14:paraId="14082553" w14:textId="77777777" w:rsidR="00A75729" w:rsidRPr="00DD752E" w:rsidRDefault="00A75729" w:rsidP="00DD752E">
            <w:pPr>
              <w:jc w:val="center"/>
            </w:pPr>
          </w:p>
        </w:tc>
        <w:tc>
          <w:tcPr>
            <w:tcW w:w="1448" w:type="dxa"/>
          </w:tcPr>
          <w:p w14:paraId="178CA231" w14:textId="77777777" w:rsidR="00A75729" w:rsidRPr="00DD752E" w:rsidRDefault="00A75729" w:rsidP="00DD752E">
            <w:pPr>
              <w:jc w:val="center"/>
            </w:pPr>
          </w:p>
        </w:tc>
      </w:tr>
      <w:tr w:rsidR="00552DB6" w:rsidRPr="004E29B6" w14:paraId="153D0F09" w14:textId="77777777" w:rsidTr="005A13C5">
        <w:tc>
          <w:tcPr>
            <w:tcW w:w="2694" w:type="dxa"/>
          </w:tcPr>
          <w:p w14:paraId="4E7FCDBB" w14:textId="336B0E28" w:rsidR="00A75729" w:rsidRPr="00DD752E" w:rsidRDefault="00A75729" w:rsidP="00DD752E">
            <w:pPr>
              <w:jc w:val="both"/>
              <w:rPr>
                <w:b/>
                <w:bCs/>
              </w:rPr>
            </w:pPr>
            <w:r w:rsidRPr="00DD752E">
              <w:rPr>
                <w:b/>
                <w:bCs/>
              </w:rPr>
              <w:t>4.6. Calcule detaliate privind fundamentarea modificărilor  veniturilor şi/sau cheltuielilor bugetare</w:t>
            </w:r>
          </w:p>
        </w:tc>
        <w:tc>
          <w:tcPr>
            <w:tcW w:w="1058" w:type="dxa"/>
          </w:tcPr>
          <w:p w14:paraId="18046DC1" w14:textId="77777777" w:rsidR="00A75729" w:rsidRPr="00DD752E" w:rsidRDefault="00A75729" w:rsidP="00DD752E">
            <w:pPr>
              <w:jc w:val="center"/>
            </w:pPr>
          </w:p>
        </w:tc>
        <w:tc>
          <w:tcPr>
            <w:tcW w:w="1366" w:type="dxa"/>
          </w:tcPr>
          <w:p w14:paraId="7CF35163" w14:textId="77777777" w:rsidR="00A75729" w:rsidRPr="00DD752E" w:rsidRDefault="00A75729" w:rsidP="00DD752E">
            <w:pPr>
              <w:jc w:val="center"/>
            </w:pPr>
          </w:p>
        </w:tc>
        <w:tc>
          <w:tcPr>
            <w:tcW w:w="1466" w:type="dxa"/>
          </w:tcPr>
          <w:p w14:paraId="1D863FB9" w14:textId="77777777" w:rsidR="00A75729" w:rsidRPr="00DD752E" w:rsidRDefault="00A75729" w:rsidP="00DD752E">
            <w:pPr>
              <w:jc w:val="center"/>
            </w:pPr>
          </w:p>
        </w:tc>
        <w:tc>
          <w:tcPr>
            <w:tcW w:w="1366" w:type="dxa"/>
          </w:tcPr>
          <w:p w14:paraId="42476051" w14:textId="77777777" w:rsidR="00A75729" w:rsidRPr="00DD752E" w:rsidRDefault="00A75729" w:rsidP="00DD752E">
            <w:pPr>
              <w:jc w:val="center"/>
            </w:pPr>
          </w:p>
        </w:tc>
        <w:tc>
          <w:tcPr>
            <w:tcW w:w="1135" w:type="dxa"/>
          </w:tcPr>
          <w:p w14:paraId="4746E189" w14:textId="77777777" w:rsidR="00A75729" w:rsidRPr="00DD752E" w:rsidRDefault="00A75729" w:rsidP="00DD752E">
            <w:pPr>
              <w:jc w:val="center"/>
            </w:pPr>
          </w:p>
        </w:tc>
        <w:tc>
          <w:tcPr>
            <w:tcW w:w="1448" w:type="dxa"/>
          </w:tcPr>
          <w:p w14:paraId="05472402" w14:textId="77777777" w:rsidR="00A75729" w:rsidRPr="00DD752E" w:rsidRDefault="00A75729" w:rsidP="00DD752E">
            <w:pPr>
              <w:jc w:val="center"/>
            </w:pPr>
          </w:p>
        </w:tc>
      </w:tr>
      <w:tr w:rsidR="00552DB6" w:rsidRPr="004E29B6" w14:paraId="260B3CE9" w14:textId="77777777" w:rsidTr="006A42CB">
        <w:tc>
          <w:tcPr>
            <w:tcW w:w="10533" w:type="dxa"/>
            <w:gridSpan w:val="7"/>
          </w:tcPr>
          <w:p w14:paraId="38A65360" w14:textId="38A68776" w:rsidR="00A75729" w:rsidRPr="00DD752E" w:rsidRDefault="00A75729" w:rsidP="00DD752E">
            <w:pPr>
              <w:jc w:val="both"/>
              <w:rPr>
                <w:b/>
                <w:bCs/>
              </w:rPr>
            </w:pPr>
            <w:r w:rsidRPr="00DD752E">
              <w:rPr>
                <w:b/>
                <w:bCs/>
              </w:rPr>
              <w:t>4.7. Prezentarea, în cazul proiectelor de acte normative</w:t>
            </w:r>
            <w:r w:rsidR="00A60FAE" w:rsidRPr="00DD752E">
              <w:rPr>
                <w:b/>
                <w:bCs/>
              </w:rPr>
              <w:t xml:space="preserve"> a căror ad</w:t>
            </w:r>
            <w:r w:rsidR="00DC129D" w:rsidRPr="00DD752E">
              <w:rPr>
                <w:b/>
                <w:bCs/>
              </w:rPr>
              <w:t>o</w:t>
            </w:r>
            <w:r w:rsidR="00A60FAE" w:rsidRPr="00DD752E">
              <w:rPr>
                <w:b/>
                <w:bCs/>
              </w:rPr>
              <w:t>ptare atrage majorarea cheltuielilor bugetare, a următoarelor documente:</w:t>
            </w:r>
          </w:p>
          <w:p w14:paraId="67DFFAEF" w14:textId="350B0C6A" w:rsidR="00A60FAE" w:rsidRPr="00DD752E" w:rsidRDefault="00A60FAE" w:rsidP="00DD752E">
            <w:pPr>
              <w:jc w:val="both"/>
            </w:pPr>
            <w:r w:rsidRPr="00DD752E">
              <w:t>a) fișa financiară prevăzută la art. 15 din Legea nr. 500/2002 privind finanțele publice, cu modificările și completările ulterioare, însoțită de ipotezele și metodologia de calcul utilizată;</w:t>
            </w:r>
          </w:p>
          <w:p w14:paraId="13DEAAFE" w14:textId="1F909440" w:rsidR="00655A72" w:rsidRPr="00DD752E" w:rsidRDefault="00655A72" w:rsidP="00DD752E">
            <w:pPr>
              <w:jc w:val="both"/>
            </w:pPr>
            <w:r w:rsidRPr="00DD752E">
              <w:t>nu e cazul</w:t>
            </w:r>
          </w:p>
          <w:p w14:paraId="37C2D0AB" w14:textId="77777777" w:rsidR="00A60FAE" w:rsidRPr="00DD752E" w:rsidRDefault="00A60FAE" w:rsidP="00DD752E">
            <w:pPr>
              <w:jc w:val="both"/>
            </w:pPr>
            <w:r w:rsidRPr="00DD752E">
              <w:t xml:space="preserve">b) declarație conform căreia majorarea de cheltuială respectivă este compatibilă cu obiectivele și prioritățile strategice specificate în strategia fiscal-bugetară, cu legea bugetară anuală și cu plafoanele </w:t>
            </w:r>
            <w:r w:rsidR="00A82648" w:rsidRPr="00DD752E">
              <w:t xml:space="preserve">de cheltuieli </w:t>
            </w:r>
            <w:r w:rsidRPr="00DD752E">
              <w:t>prezentate în strategia fiscal-bugetară.</w:t>
            </w:r>
          </w:p>
          <w:p w14:paraId="699F79A9" w14:textId="76E45FF9" w:rsidR="00655A72" w:rsidRPr="00DD752E" w:rsidRDefault="00655A72" w:rsidP="00DD752E">
            <w:pPr>
              <w:jc w:val="both"/>
            </w:pPr>
            <w:r w:rsidRPr="00DD752E">
              <w:t>Nu e cazul</w:t>
            </w:r>
          </w:p>
        </w:tc>
      </w:tr>
      <w:tr w:rsidR="00552DB6" w:rsidRPr="004E29B6" w14:paraId="675CE50B" w14:textId="77777777" w:rsidTr="00D72556">
        <w:tc>
          <w:tcPr>
            <w:tcW w:w="10533" w:type="dxa"/>
            <w:gridSpan w:val="7"/>
          </w:tcPr>
          <w:p w14:paraId="199633AB" w14:textId="77777777" w:rsidR="00B4537B" w:rsidRPr="00DD752E" w:rsidRDefault="00B4537B" w:rsidP="00DD752E">
            <w:pPr>
              <w:rPr>
                <w:b/>
                <w:bCs/>
                <w:noProof/>
              </w:rPr>
            </w:pPr>
            <w:r w:rsidRPr="00DD752E">
              <w:rPr>
                <w:b/>
                <w:bCs/>
                <w:noProof/>
              </w:rPr>
              <w:t>4.8. Alte informații</w:t>
            </w:r>
          </w:p>
          <w:p w14:paraId="64B74EF4" w14:textId="39348DA3" w:rsidR="0029528D" w:rsidRPr="00DD752E" w:rsidRDefault="0029528D" w:rsidP="00DD752E">
            <w:pPr>
              <w:rPr>
                <w:noProof/>
              </w:rPr>
            </w:pPr>
            <w:r w:rsidRPr="00DD752E">
              <w:rPr>
                <w:noProof/>
              </w:rPr>
              <w:t>Nu generează influențe financiare asupra bugetului general consolidat</w:t>
            </w:r>
          </w:p>
        </w:tc>
      </w:tr>
    </w:tbl>
    <w:p w14:paraId="2F7ACEA9" w14:textId="081EC197" w:rsidR="003864F6" w:rsidRPr="00DD752E" w:rsidRDefault="00670C79" w:rsidP="00DD752E">
      <w:pPr>
        <w:jc w:val="both"/>
        <w:rPr>
          <w:b/>
        </w:rPr>
      </w:pPr>
      <w:r w:rsidRPr="00DD752E">
        <w:rPr>
          <w:b/>
        </w:rPr>
        <w:t xml:space="preserve"> </w:t>
      </w:r>
      <w:r w:rsidR="002510E7" w:rsidRPr="00DD752E">
        <w:rPr>
          <w:b/>
        </w:rPr>
        <w:tab/>
      </w:r>
    </w:p>
    <w:p w14:paraId="777ED2E4" w14:textId="77777777" w:rsidR="00B4537B" w:rsidRPr="00DD752E" w:rsidRDefault="00670C79" w:rsidP="00DD752E">
      <w:pPr>
        <w:jc w:val="both"/>
        <w:rPr>
          <w:b/>
        </w:rPr>
      </w:pPr>
      <w:r w:rsidRPr="00DD752E">
        <w:rPr>
          <w:b/>
        </w:rPr>
        <w:t xml:space="preserve">Secţiunea a 5-a </w:t>
      </w:r>
    </w:p>
    <w:p w14:paraId="7E1BCAF6" w14:textId="576D5D21" w:rsidR="00670C79" w:rsidRPr="00DD752E" w:rsidRDefault="00670C79" w:rsidP="00DD752E">
      <w:pPr>
        <w:jc w:val="both"/>
        <w:rPr>
          <w:b/>
        </w:rPr>
      </w:pPr>
      <w:r w:rsidRPr="00DD752E">
        <w:rPr>
          <w:b/>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552DB6" w:rsidRPr="004E29B6" w14:paraId="327176B4" w14:textId="77777777" w:rsidTr="00B400EE">
        <w:trPr>
          <w:trHeight w:val="561"/>
        </w:trPr>
        <w:tc>
          <w:tcPr>
            <w:tcW w:w="10533" w:type="dxa"/>
          </w:tcPr>
          <w:p w14:paraId="4F9076D7" w14:textId="407D2D2C" w:rsidR="00973701" w:rsidRPr="00DD752E" w:rsidRDefault="00973701" w:rsidP="00DD752E">
            <w:pPr>
              <w:jc w:val="both"/>
              <w:rPr>
                <w:b/>
                <w:bCs/>
              </w:rPr>
            </w:pPr>
            <w:r w:rsidRPr="00DD752E">
              <w:rPr>
                <w:b/>
                <w:bCs/>
              </w:rPr>
              <w:t>5.1. Măsuri normative necesare pentru aplicarea prevederilor proiectului de act normativ</w:t>
            </w:r>
          </w:p>
          <w:p w14:paraId="79B335E6" w14:textId="7C87FE32" w:rsidR="00973701" w:rsidRPr="00DD752E" w:rsidRDefault="00973701" w:rsidP="00DD752E">
            <w:pPr>
              <w:tabs>
                <w:tab w:val="left" w:pos="201"/>
              </w:tabs>
              <w:jc w:val="both"/>
              <w:rPr>
                <w:b/>
                <w:bCs/>
              </w:rPr>
            </w:pPr>
            <w:r w:rsidRPr="00DD752E">
              <w:rPr>
                <w:b/>
                <w:bCs/>
              </w:rPr>
              <w:t>5.2. Impactul asupra legislației în domeniul achizițiilor publice</w:t>
            </w:r>
          </w:p>
          <w:p w14:paraId="3CE6B9A6" w14:textId="78845DF6" w:rsidR="00973701" w:rsidRPr="00DD752E" w:rsidRDefault="00973701" w:rsidP="00DD752E">
            <w:pPr>
              <w:tabs>
                <w:tab w:val="left" w:pos="201"/>
              </w:tabs>
              <w:jc w:val="both"/>
              <w:rPr>
                <w:b/>
                <w:bCs/>
              </w:rPr>
            </w:pPr>
            <w:r w:rsidRPr="00DD752E">
              <w:rPr>
                <w:b/>
                <w:bCs/>
              </w:rPr>
              <w:t>5.3. Conformitatea  proiectului de act normativ cu legislaţia UE (în cazul proiectelor ce transpun sau asigură aplicarea unor prevederi de drept UE)</w:t>
            </w:r>
          </w:p>
          <w:p w14:paraId="09158D06" w14:textId="7EEBFF96" w:rsidR="00973701" w:rsidRPr="00DD752E" w:rsidRDefault="00973701" w:rsidP="00DD752E">
            <w:pPr>
              <w:tabs>
                <w:tab w:val="left" w:pos="201"/>
              </w:tabs>
              <w:jc w:val="both"/>
              <w:rPr>
                <w:b/>
                <w:bCs/>
              </w:rPr>
            </w:pPr>
            <w:r w:rsidRPr="00DD752E">
              <w:rPr>
                <w:b/>
                <w:bCs/>
              </w:rPr>
              <w:t>5.3.1. Măsuri normative necesare transpunerii directivelor UE</w:t>
            </w:r>
          </w:p>
          <w:p w14:paraId="4087DBF1" w14:textId="4516FADD" w:rsidR="00973701" w:rsidRPr="00DD752E" w:rsidRDefault="00674D58" w:rsidP="00DD752E">
            <w:pPr>
              <w:tabs>
                <w:tab w:val="left" w:pos="201"/>
              </w:tabs>
              <w:jc w:val="both"/>
              <w:rPr>
                <w:b/>
                <w:bCs/>
              </w:rPr>
            </w:pPr>
            <w:r w:rsidRPr="00DD752E">
              <w:rPr>
                <w:b/>
                <w:bCs/>
              </w:rPr>
              <w:t>5.3.2. Măsuri normative necesare aplicării actelor legislative UE</w:t>
            </w:r>
          </w:p>
          <w:p w14:paraId="1292063A" w14:textId="684752BA" w:rsidR="002623AD" w:rsidRPr="00DD752E" w:rsidRDefault="00674D58" w:rsidP="00DD752E">
            <w:pPr>
              <w:tabs>
                <w:tab w:val="left" w:pos="201"/>
              </w:tabs>
              <w:jc w:val="both"/>
            </w:pPr>
            <w:r w:rsidRPr="00DD752E">
              <w:rPr>
                <w:b/>
                <w:bCs/>
              </w:rPr>
              <w:t>5.4. Hotărâri ale Curţii de Justiţie a Uniunii Europene</w:t>
            </w:r>
            <w:r w:rsidR="002623AD" w:rsidRPr="00DD752E">
              <w:rPr>
                <w:b/>
                <w:bCs/>
              </w:rPr>
              <w:t xml:space="preserve"> </w:t>
            </w:r>
          </w:p>
          <w:p w14:paraId="549050FF" w14:textId="1F2A6EE8" w:rsidR="00761703" w:rsidRPr="00DD752E" w:rsidRDefault="00674D58" w:rsidP="00DD752E">
            <w:pPr>
              <w:tabs>
                <w:tab w:val="left" w:pos="201"/>
              </w:tabs>
              <w:jc w:val="both"/>
            </w:pPr>
            <w:r w:rsidRPr="00DD752E">
              <w:rPr>
                <w:b/>
                <w:bCs/>
              </w:rPr>
              <w:lastRenderedPageBreak/>
              <w:t>5.5. Alte acte normative şi/sau documente internaţionale din care decurg angajamente asumate</w:t>
            </w:r>
            <w:r w:rsidR="002623AD" w:rsidRPr="00DD752E">
              <w:rPr>
                <w:b/>
                <w:bCs/>
              </w:rPr>
              <w:t xml:space="preserve">  </w:t>
            </w:r>
          </w:p>
          <w:p w14:paraId="7C430706" w14:textId="094C70CE" w:rsidR="00973701" w:rsidRPr="00DD752E" w:rsidRDefault="00674D58" w:rsidP="00DD752E">
            <w:pPr>
              <w:tabs>
                <w:tab w:val="left" w:pos="201"/>
              </w:tabs>
              <w:jc w:val="both"/>
            </w:pPr>
            <w:r w:rsidRPr="00DD752E">
              <w:rPr>
                <w:b/>
                <w:bCs/>
              </w:rPr>
              <w:t>5.6. Alte informații</w:t>
            </w:r>
          </w:p>
        </w:tc>
      </w:tr>
    </w:tbl>
    <w:p w14:paraId="2573618F" w14:textId="77777777" w:rsidR="00FC40BD" w:rsidRDefault="00FC40BD" w:rsidP="004E29B6">
      <w:pPr>
        <w:rPr>
          <w:b/>
        </w:rPr>
      </w:pPr>
    </w:p>
    <w:p w14:paraId="6F04DAD9" w14:textId="2E6CF803" w:rsidR="00BB0782" w:rsidRPr="00DD752E" w:rsidRDefault="00BB0782" w:rsidP="00DD752E">
      <w:pPr>
        <w:rPr>
          <w:b/>
        </w:rPr>
      </w:pPr>
      <w:r w:rsidRPr="00DD752E">
        <w:rPr>
          <w:b/>
        </w:rPr>
        <w:t>Secțiunea a 6-a</w:t>
      </w:r>
    </w:p>
    <w:p w14:paraId="4113E59E" w14:textId="59419D76" w:rsidR="00670C79" w:rsidRPr="00DD752E" w:rsidRDefault="00670C79" w:rsidP="00DD752E">
      <w:pPr>
        <w:rPr>
          <w:b/>
        </w:rPr>
      </w:pPr>
      <w:r w:rsidRPr="00DD752E">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552DB6" w:rsidRPr="004E29B6" w14:paraId="5EB7CDBC" w14:textId="77777777" w:rsidTr="00096014">
        <w:tc>
          <w:tcPr>
            <w:tcW w:w="10533" w:type="dxa"/>
          </w:tcPr>
          <w:p w14:paraId="598B642C" w14:textId="50A84CE9" w:rsidR="00770E01" w:rsidRPr="00DD752E" w:rsidRDefault="00770E01" w:rsidP="00DD752E">
            <w:pPr>
              <w:jc w:val="both"/>
              <w:rPr>
                <w:b/>
                <w:bCs/>
              </w:rPr>
            </w:pPr>
            <w:r w:rsidRPr="00DD752E">
              <w:rPr>
                <w:b/>
                <w:bCs/>
              </w:rPr>
              <w:t>6.1. Informații privind neaplicarea procedurii de participare la elaborarea actelor normative</w:t>
            </w:r>
          </w:p>
          <w:p w14:paraId="1D8971B1" w14:textId="40BC6DE8" w:rsidR="00800EC1" w:rsidRPr="00DD752E" w:rsidRDefault="00770E01" w:rsidP="00DD752E">
            <w:pPr>
              <w:jc w:val="both"/>
              <w:rPr>
                <w:b/>
                <w:bCs/>
              </w:rPr>
            </w:pPr>
            <w:r w:rsidRPr="00DD752E">
              <w:rPr>
                <w:b/>
                <w:bCs/>
              </w:rPr>
              <w:t>6.2. Informaţii privind procesul de consultare cu organizaţii neguvernamentale, institute de cercetare şi alte organisme implicate</w:t>
            </w:r>
          </w:p>
          <w:p w14:paraId="2BABECC5" w14:textId="5AB3CE08" w:rsidR="00926ABC" w:rsidRPr="00DD752E" w:rsidRDefault="00770E01" w:rsidP="00DD752E">
            <w:pPr>
              <w:jc w:val="both"/>
              <w:rPr>
                <w:b/>
                <w:bCs/>
              </w:rPr>
            </w:pPr>
            <w:r w:rsidRPr="00DD752E">
              <w:rPr>
                <w:b/>
                <w:bCs/>
              </w:rPr>
              <w:t>6.3. Informații despre consultările organizate cu autoritățile administrației publice locale</w:t>
            </w:r>
          </w:p>
          <w:p w14:paraId="5ACED60D" w14:textId="59DDC394" w:rsidR="00800EC1" w:rsidRPr="00DD752E" w:rsidRDefault="00770E01" w:rsidP="00DD752E">
            <w:pPr>
              <w:jc w:val="both"/>
              <w:rPr>
                <w:b/>
                <w:bCs/>
              </w:rPr>
            </w:pPr>
            <w:r w:rsidRPr="00DD752E">
              <w:rPr>
                <w:b/>
                <w:bCs/>
              </w:rPr>
              <w:t>6.4. Informații privind puncte de vedere/opinii emise de organisme consulative constituite prin acte normative</w:t>
            </w:r>
          </w:p>
          <w:p w14:paraId="0FF572CC" w14:textId="3F3A66CE" w:rsidR="00770E01" w:rsidRPr="00DD752E" w:rsidRDefault="00770E01" w:rsidP="00DD752E">
            <w:pPr>
              <w:jc w:val="both"/>
              <w:rPr>
                <w:b/>
                <w:bCs/>
              </w:rPr>
            </w:pPr>
            <w:r w:rsidRPr="00DD752E">
              <w:rPr>
                <w:b/>
                <w:bCs/>
              </w:rPr>
              <w:t>6.5</w:t>
            </w:r>
            <w:r w:rsidR="004555DD" w:rsidRPr="00DD752E">
              <w:rPr>
                <w:b/>
                <w:bCs/>
              </w:rPr>
              <w:t>.</w:t>
            </w:r>
            <w:r w:rsidRPr="00DD752E">
              <w:rPr>
                <w:b/>
                <w:bCs/>
              </w:rPr>
              <w:t xml:space="preserve"> Informații privind avizarea de către:</w:t>
            </w:r>
          </w:p>
          <w:p w14:paraId="3DD2ED4C" w14:textId="0FDCF971" w:rsidR="00770E01" w:rsidRPr="00DD752E" w:rsidRDefault="00770E01" w:rsidP="00DD752E">
            <w:pPr>
              <w:jc w:val="both"/>
            </w:pPr>
            <w:r w:rsidRPr="00DD752E">
              <w:t xml:space="preserve">a) Consiliul </w:t>
            </w:r>
            <w:r w:rsidR="008F6907" w:rsidRPr="00DD752E">
              <w:t>L</w:t>
            </w:r>
            <w:r w:rsidRPr="00DD752E">
              <w:t>egislativ</w:t>
            </w:r>
            <w:r w:rsidR="00761703" w:rsidRPr="00DD752E">
              <w:t xml:space="preserve"> - proiectul de act normativ este supus avizării Consiliului Legislativ</w:t>
            </w:r>
          </w:p>
          <w:p w14:paraId="5FE65553" w14:textId="15D2A101" w:rsidR="00770E01" w:rsidRPr="00DD752E" w:rsidRDefault="00770E01" w:rsidP="00DD752E">
            <w:pPr>
              <w:jc w:val="both"/>
            </w:pPr>
            <w:r w:rsidRPr="00DD752E">
              <w:t>b)</w:t>
            </w:r>
            <w:r w:rsidR="00456611" w:rsidRPr="00DD752E">
              <w:t xml:space="preserve"> </w:t>
            </w:r>
            <w:r w:rsidRPr="00DD752E">
              <w:t>Consiliul Suprem de Apărare a Ţării</w:t>
            </w:r>
          </w:p>
          <w:p w14:paraId="22642D64" w14:textId="4C777137" w:rsidR="00770E01" w:rsidRPr="00DD752E" w:rsidRDefault="00770E01" w:rsidP="00DD752E">
            <w:pPr>
              <w:jc w:val="both"/>
            </w:pPr>
            <w:r w:rsidRPr="00DD752E">
              <w:t>c)</w:t>
            </w:r>
            <w:r w:rsidR="00456611" w:rsidRPr="00DD752E">
              <w:t xml:space="preserve"> </w:t>
            </w:r>
            <w:r w:rsidRPr="00DD752E">
              <w:t>Consiliul Economic şi Social</w:t>
            </w:r>
          </w:p>
          <w:p w14:paraId="782E1FCE" w14:textId="1D3F1A42" w:rsidR="00770E01" w:rsidRPr="00DD752E" w:rsidRDefault="00770E01" w:rsidP="00DD752E">
            <w:pPr>
              <w:jc w:val="both"/>
            </w:pPr>
            <w:r w:rsidRPr="00DD752E">
              <w:t>d)</w:t>
            </w:r>
            <w:r w:rsidR="00456611" w:rsidRPr="00DD752E">
              <w:t xml:space="preserve"> </w:t>
            </w:r>
            <w:r w:rsidRPr="00DD752E">
              <w:t xml:space="preserve">Consiliul Concurenţei </w:t>
            </w:r>
          </w:p>
          <w:p w14:paraId="5E6B519D" w14:textId="77777777" w:rsidR="005115CE" w:rsidRPr="00DD752E" w:rsidRDefault="00770E01" w:rsidP="00DD752E">
            <w:pPr>
              <w:jc w:val="both"/>
            </w:pPr>
            <w:r w:rsidRPr="00DD752E">
              <w:t>e)</w:t>
            </w:r>
            <w:r w:rsidR="00456611" w:rsidRPr="00DD752E">
              <w:t xml:space="preserve"> </w:t>
            </w:r>
            <w:r w:rsidRPr="00DD752E">
              <w:t>Curtea de Conturi</w:t>
            </w:r>
          </w:p>
          <w:p w14:paraId="09822544" w14:textId="2089B82D" w:rsidR="00800EC1" w:rsidRPr="00DD752E" w:rsidRDefault="005115CE" w:rsidP="00DD752E">
            <w:pPr>
              <w:jc w:val="both"/>
            </w:pPr>
            <w:r w:rsidRPr="00DD752E">
              <w:t xml:space="preserve"> S-a solicitat punctul de vedere de la Curtea de Conturi, Autoritatea de Audit din cadrul Curții de Conturi a României, Consiliul Concurenței și Ministerului Afacerilor Externe.</w:t>
            </w:r>
          </w:p>
          <w:p w14:paraId="41DAB525" w14:textId="77777777" w:rsidR="00770E01" w:rsidRPr="00DD752E" w:rsidRDefault="00770E01" w:rsidP="00DD752E">
            <w:pPr>
              <w:jc w:val="both"/>
              <w:rPr>
                <w:b/>
                <w:bCs/>
              </w:rPr>
            </w:pPr>
            <w:r w:rsidRPr="00DD752E">
              <w:rPr>
                <w:b/>
                <w:bCs/>
              </w:rPr>
              <w:t>6.6. Alte informații</w:t>
            </w:r>
          </w:p>
          <w:p w14:paraId="3AD6025A" w14:textId="77777777" w:rsidR="005115CE" w:rsidRPr="00DD752E" w:rsidRDefault="005115CE" w:rsidP="00DD752E">
            <w:pPr>
              <w:jc w:val="both"/>
            </w:pPr>
            <w:r w:rsidRPr="00DD752E">
              <w:t xml:space="preserve">Proiectul de act normativ a fost avizat  de  Consiliul Legislativ prin avizul nr......... </w:t>
            </w:r>
          </w:p>
          <w:p w14:paraId="32E03757" w14:textId="0A0B8777" w:rsidR="00066534" w:rsidRPr="00DD752E" w:rsidRDefault="005115CE" w:rsidP="00DD752E">
            <w:pPr>
              <w:jc w:val="both"/>
              <w:rPr>
                <w:b/>
                <w:bCs/>
              </w:rPr>
            </w:pPr>
            <w:r w:rsidRPr="00DD752E">
              <w:t>S-a solicitat punctul de vedere al Curții de Conturi și Autoritatea de Audit din cadrul Curții de Conturi a României,  Consiliul Concurenței, Băncii Naționale a României</w:t>
            </w:r>
            <w:r w:rsidR="004E29B6">
              <w:t>,</w:t>
            </w:r>
            <w:r w:rsidRPr="00DD752E">
              <w:t xml:space="preserve"> Asociației Române a Băncilor</w:t>
            </w:r>
            <w:r w:rsidR="004E29B6" w:rsidRPr="00656D04">
              <w:t xml:space="preserve"> și Ministerului Afacerilor Externe</w:t>
            </w:r>
            <w:r w:rsidRPr="00DD752E">
              <w:t>.</w:t>
            </w:r>
          </w:p>
        </w:tc>
      </w:tr>
    </w:tbl>
    <w:p w14:paraId="14EDC7FE" w14:textId="77777777" w:rsidR="00FC40BD" w:rsidRDefault="00FC40BD" w:rsidP="004E29B6">
      <w:pPr>
        <w:pStyle w:val="BodyTextIndent2"/>
        <w:spacing w:before="0" w:after="0" w:line="240" w:lineRule="auto"/>
        <w:ind w:right="98" w:firstLine="0"/>
        <w:jc w:val="both"/>
        <w:rPr>
          <w:bCs w:val="0"/>
          <w:sz w:val="24"/>
        </w:rPr>
      </w:pPr>
    </w:p>
    <w:p w14:paraId="311858C9" w14:textId="775883E5" w:rsidR="00770E01" w:rsidRPr="00DD752E" w:rsidRDefault="00670C79" w:rsidP="00DD752E">
      <w:pPr>
        <w:pStyle w:val="BodyTextIndent2"/>
        <w:spacing w:before="0" w:after="0" w:line="240" w:lineRule="auto"/>
        <w:ind w:right="98" w:firstLine="0"/>
        <w:jc w:val="both"/>
        <w:rPr>
          <w:bCs w:val="0"/>
          <w:sz w:val="24"/>
        </w:rPr>
      </w:pPr>
      <w:r w:rsidRPr="00DD752E">
        <w:rPr>
          <w:bCs w:val="0"/>
          <w:sz w:val="24"/>
        </w:rPr>
        <w:t xml:space="preserve">Secţiunea a 7-a  </w:t>
      </w:r>
    </w:p>
    <w:p w14:paraId="45DA67B7" w14:textId="070DA24F" w:rsidR="00260E13" w:rsidRPr="00DD752E" w:rsidRDefault="00670C79" w:rsidP="00DD752E">
      <w:pPr>
        <w:pStyle w:val="BodyTextIndent2"/>
        <w:spacing w:before="0" w:after="0" w:line="240" w:lineRule="auto"/>
        <w:ind w:right="98" w:firstLine="0"/>
        <w:jc w:val="both"/>
        <w:rPr>
          <w:bCs w:val="0"/>
          <w:sz w:val="24"/>
        </w:rPr>
      </w:pPr>
      <w:r w:rsidRPr="00DD752E">
        <w:rPr>
          <w:bCs w:val="0"/>
          <w:sz w:val="24"/>
        </w:rPr>
        <w:t xml:space="preserve">Activităţi de informare publică privind elaborarea şi implementarea </w:t>
      </w:r>
      <w:bookmarkStart w:id="8" w:name="_Hlk100229941"/>
      <w:r w:rsidRPr="00DD752E">
        <w:rPr>
          <w:bCs w:val="0"/>
          <w:sz w:val="24"/>
        </w:rPr>
        <w:t>proiectului de act normativ</w:t>
      </w:r>
      <w:bookmarkEnd w:id="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552DB6" w:rsidRPr="004E29B6" w14:paraId="416004E3" w14:textId="77777777" w:rsidTr="00634CAE">
        <w:tc>
          <w:tcPr>
            <w:tcW w:w="10533" w:type="dxa"/>
          </w:tcPr>
          <w:p w14:paraId="29554504" w14:textId="3E86BEBC" w:rsidR="00770E01" w:rsidRPr="00DD752E" w:rsidRDefault="00770E01" w:rsidP="00DD752E">
            <w:pPr>
              <w:jc w:val="both"/>
              <w:rPr>
                <w:b/>
                <w:bCs/>
              </w:rPr>
            </w:pPr>
            <w:r w:rsidRPr="00DD752E">
              <w:rPr>
                <w:b/>
                <w:bCs/>
              </w:rPr>
              <w:t xml:space="preserve">7.1. </w:t>
            </w:r>
            <w:r w:rsidR="0053566B" w:rsidRPr="00DD752E">
              <w:rPr>
                <w:b/>
                <w:bCs/>
              </w:rPr>
              <w:t>Informarea societăţii civile cu privire la elaborarea proiectului de act normativ</w:t>
            </w:r>
          </w:p>
          <w:p w14:paraId="5E6B81AD" w14:textId="24981FC2" w:rsidR="00761703" w:rsidRPr="00DD752E" w:rsidRDefault="00761703" w:rsidP="00DD752E">
            <w:pPr>
              <w:jc w:val="both"/>
            </w:pPr>
            <w:r w:rsidRPr="00DD752E">
              <w:t xml:space="preserve">Prezentul proiect de act normativ respectă prevederile art. 7 alin.(13) din Legea nr. 52/2003 privind transparența decizională în administrația publică, republicată, cu modificările și completările ulterioare, și a fost publicat pe pagina de internet a Ministerului Investițiilor și Proiectelor Europene la data de </w:t>
            </w:r>
            <w:r w:rsidR="0094007B">
              <w:t>15.05.2023.</w:t>
            </w:r>
          </w:p>
          <w:p w14:paraId="3695E7F7" w14:textId="43A9A6A9" w:rsidR="0053566B" w:rsidRPr="00DD752E" w:rsidRDefault="0053566B" w:rsidP="00DD752E">
            <w:pPr>
              <w:jc w:val="both"/>
              <w:rPr>
                <w:b/>
                <w:bCs/>
              </w:rPr>
            </w:pPr>
            <w:r w:rsidRPr="00DD752E">
              <w:rPr>
                <w:b/>
                <w:bCs/>
              </w:rPr>
              <w:t>7.2. Informarea societăţii civile cu privire la e</w:t>
            </w:r>
            <w:r w:rsidR="008F6907" w:rsidRPr="00DD752E">
              <w:rPr>
                <w:b/>
                <w:bCs/>
              </w:rPr>
              <w:t>v</w:t>
            </w:r>
            <w:r w:rsidRPr="00DD752E">
              <w:rPr>
                <w:b/>
                <w:bCs/>
              </w:rPr>
              <w:t>entualul impact asupra mediului în urma implementării proiectului de act normativ, precum și efectele asupra sănătății și securității cetățenilor sau diversității biologice</w:t>
            </w:r>
          </w:p>
          <w:p w14:paraId="6A2C5259" w14:textId="14683AD7" w:rsidR="008F6907" w:rsidRPr="00DD752E" w:rsidRDefault="008F6907" w:rsidP="00DD752E">
            <w:pPr>
              <w:jc w:val="both"/>
              <w:rPr>
                <w:b/>
                <w:bCs/>
              </w:rPr>
            </w:pPr>
          </w:p>
        </w:tc>
      </w:tr>
    </w:tbl>
    <w:p w14:paraId="61940C81" w14:textId="77777777" w:rsidR="00FC40BD" w:rsidRDefault="00FC40BD" w:rsidP="004E29B6">
      <w:pPr>
        <w:rPr>
          <w:b/>
        </w:rPr>
      </w:pPr>
    </w:p>
    <w:p w14:paraId="341152AF" w14:textId="60994B38" w:rsidR="0053566B" w:rsidRPr="00DD752E" w:rsidRDefault="00670C79" w:rsidP="00DD752E">
      <w:pPr>
        <w:rPr>
          <w:b/>
        </w:rPr>
      </w:pPr>
      <w:r w:rsidRPr="00DD752E">
        <w:rPr>
          <w:b/>
        </w:rPr>
        <w:t>Secţiunea a 8- a</w:t>
      </w:r>
    </w:p>
    <w:p w14:paraId="3FBCA191" w14:textId="2A77164A" w:rsidR="00670C79" w:rsidRPr="00DD752E" w:rsidRDefault="00670C79" w:rsidP="00DD752E">
      <w:pPr>
        <w:rPr>
          <w:b/>
        </w:rPr>
      </w:pPr>
      <w:r w:rsidRPr="00DD752E">
        <w:rPr>
          <w:b/>
        </w:rPr>
        <w:t xml:space="preserve">Măsuri </w:t>
      </w:r>
      <w:r w:rsidR="0053566B" w:rsidRPr="00DD752E">
        <w:rPr>
          <w:b/>
        </w:rPr>
        <w:t>privind</w:t>
      </w:r>
      <w:r w:rsidRPr="00DD752E">
        <w:rPr>
          <w:b/>
        </w:rPr>
        <w:t xml:space="preserve"> implementare</w:t>
      </w:r>
      <w:r w:rsidR="0053566B" w:rsidRPr="00DD752E">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52DB6" w:rsidRPr="004E29B6" w14:paraId="554BFAFC" w14:textId="77777777" w:rsidTr="00435BC5">
        <w:tc>
          <w:tcPr>
            <w:tcW w:w="10553" w:type="dxa"/>
          </w:tcPr>
          <w:p w14:paraId="560280B7" w14:textId="452BF905" w:rsidR="0053566B" w:rsidRPr="00DD752E" w:rsidRDefault="0053566B" w:rsidP="00DD752E">
            <w:pPr>
              <w:pStyle w:val="Heading1"/>
              <w:spacing w:line="240" w:lineRule="auto"/>
              <w:jc w:val="both"/>
              <w:rPr>
                <w:b/>
                <w:bCs/>
                <w:sz w:val="24"/>
              </w:rPr>
            </w:pPr>
            <w:r w:rsidRPr="00DD752E">
              <w:rPr>
                <w:b/>
                <w:bCs/>
                <w:sz w:val="24"/>
              </w:rPr>
              <w:t>8.1. Măsuri de punere în aplicare a proiectului de act normativ</w:t>
            </w:r>
          </w:p>
          <w:p w14:paraId="3837F202" w14:textId="183BCADB" w:rsidR="0053566B" w:rsidRPr="00DD752E" w:rsidRDefault="0053566B" w:rsidP="00DD752E">
            <w:r w:rsidRPr="00DD752E">
              <w:rPr>
                <w:b/>
                <w:bCs/>
              </w:rPr>
              <w:t>8.2. Alte informaţii</w:t>
            </w:r>
          </w:p>
        </w:tc>
      </w:tr>
    </w:tbl>
    <w:p w14:paraId="4502B273" w14:textId="77777777" w:rsidR="00FC40BD" w:rsidRDefault="00FC40BD" w:rsidP="004E29B6">
      <w:pPr>
        <w:jc w:val="both"/>
      </w:pPr>
    </w:p>
    <w:p w14:paraId="53D59F1B" w14:textId="77777777" w:rsidR="00FC40BD" w:rsidRDefault="00FC40BD" w:rsidP="004E29B6">
      <w:pPr>
        <w:jc w:val="both"/>
      </w:pPr>
    </w:p>
    <w:p w14:paraId="085291FA" w14:textId="77777777" w:rsidR="00FC40BD" w:rsidRDefault="00FC40BD" w:rsidP="004E29B6">
      <w:pPr>
        <w:jc w:val="both"/>
      </w:pPr>
    </w:p>
    <w:p w14:paraId="379026C0" w14:textId="77777777" w:rsidR="00FC40BD" w:rsidRDefault="00FC40BD" w:rsidP="004E29B6">
      <w:pPr>
        <w:jc w:val="both"/>
      </w:pPr>
    </w:p>
    <w:p w14:paraId="00F483CD" w14:textId="77777777" w:rsidR="00FC40BD" w:rsidRDefault="00FC40BD" w:rsidP="004E29B6">
      <w:pPr>
        <w:jc w:val="both"/>
      </w:pPr>
    </w:p>
    <w:p w14:paraId="64F8AEBD" w14:textId="77777777" w:rsidR="00FC40BD" w:rsidRDefault="00FC40BD" w:rsidP="004E29B6">
      <w:pPr>
        <w:jc w:val="both"/>
      </w:pPr>
    </w:p>
    <w:p w14:paraId="1D9EDBF3" w14:textId="77777777" w:rsidR="00FC40BD" w:rsidRDefault="00FC40BD" w:rsidP="004E29B6">
      <w:pPr>
        <w:jc w:val="both"/>
      </w:pPr>
    </w:p>
    <w:p w14:paraId="6ABBA863" w14:textId="77777777" w:rsidR="00FC40BD" w:rsidRDefault="00FC40BD" w:rsidP="004E29B6">
      <w:pPr>
        <w:jc w:val="both"/>
      </w:pPr>
    </w:p>
    <w:p w14:paraId="3E708898" w14:textId="77777777" w:rsidR="00FC40BD" w:rsidRDefault="00FC40BD" w:rsidP="004E29B6">
      <w:pPr>
        <w:jc w:val="both"/>
      </w:pPr>
    </w:p>
    <w:p w14:paraId="3D9D0130" w14:textId="77777777" w:rsidR="00FC40BD" w:rsidRDefault="00FC40BD" w:rsidP="004E29B6">
      <w:pPr>
        <w:jc w:val="both"/>
      </w:pPr>
    </w:p>
    <w:p w14:paraId="07B60947" w14:textId="77777777" w:rsidR="00FC40BD" w:rsidRDefault="00FC40BD" w:rsidP="004E29B6">
      <w:pPr>
        <w:jc w:val="both"/>
      </w:pPr>
    </w:p>
    <w:p w14:paraId="06A32D5F" w14:textId="77777777" w:rsidR="00FC40BD" w:rsidRDefault="00FC40BD" w:rsidP="004E29B6">
      <w:pPr>
        <w:jc w:val="both"/>
      </w:pPr>
    </w:p>
    <w:p w14:paraId="390E4E17" w14:textId="3A4510D2" w:rsidR="00761703" w:rsidRPr="00DD752E" w:rsidRDefault="00761703" w:rsidP="00DD752E">
      <w:pPr>
        <w:jc w:val="both"/>
        <w:rPr>
          <w:b/>
          <w:lang w:eastAsia="ro-RO"/>
        </w:rPr>
      </w:pPr>
      <w:r w:rsidRPr="00DD752E">
        <w:t xml:space="preserve">Față de cele prezentate, a fost promovată prezenta </w:t>
      </w:r>
      <w:r w:rsidR="003F045C" w:rsidRPr="00DD752E">
        <w:rPr>
          <w:b/>
        </w:rPr>
        <w:t xml:space="preserve">Ordonanță de urgență a Guvernului </w:t>
      </w:r>
      <w:r w:rsidR="003B48CD" w:rsidRPr="00DD752E">
        <w:rPr>
          <w:b/>
        </w:rPr>
        <w:t>privind unele măsuri pentru implementarea proiectelor de infrastructură publică de sănătate cu finanțare din fonduri externe nerambursabile în cadrul Programului Sănătate și din împrumuturi contractate cu Instituțiile Financiare Internaționale</w:t>
      </w:r>
      <w:r w:rsidRPr="00DD752E">
        <w:t>, proiect care, în forma prezentată, a fost avizat de ministerele și instituțiile interesate și de Consiliul Legislativ și pe care îl supunem spre</w:t>
      </w:r>
      <w:r w:rsidR="005115CE" w:rsidRPr="00DD752E">
        <w:t xml:space="preserve"> </w:t>
      </w:r>
      <w:r w:rsidRPr="00DD752E">
        <w:t>adoptare.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B15F57" w:rsidRPr="004E29B6" w14:paraId="5A563EC0" w14:textId="77777777" w:rsidTr="007E02DA">
        <w:tc>
          <w:tcPr>
            <w:tcW w:w="10528" w:type="dxa"/>
            <w:gridSpan w:val="2"/>
          </w:tcPr>
          <w:p w14:paraId="54753FE9" w14:textId="77777777" w:rsidR="00B15F57" w:rsidRPr="00DD752E" w:rsidRDefault="00B15F57" w:rsidP="00DD752E">
            <w:pPr>
              <w:jc w:val="center"/>
              <w:rPr>
                <w:b/>
                <w:bCs/>
                <w:color w:val="000000" w:themeColor="text1"/>
              </w:rPr>
            </w:pPr>
          </w:p>
          <w:p w14:paraId="4E5DF9D9" w14:textId="4146CEB8" w:rsidR="00B15F57" w:rsidRPr="00DD752E" w:rsidRDefault="00B15F57" w:rsidP="00DD752E">
            <w:pPr>
              <w:jc w:val="center"/>
              <w:rPr>
                <w:b/>
                <w:bCs/>
                <w:color w:val="000000" w:themeColor="text1"/>
              </w:rPr>
            </w:pPr>
            <w:bookmarkStart w:id="9" w:name="_Hlk134454768"/>
            <w:r w:rsidRPr="00DD752E">
              <w:rPr>
                <w:b/>
                <w:bCs/>
                <w:color w:val="000000" w:themeColor="text1"/>
              </w:rPr>
              <w:t>MINISTRUL INVESTIȚIILOR ȘI PROIECTELOR EUROPENE</w:t>
            </w:r>
          </w:p>
          <w:p w14:paraId="0646CE0E" w14:textId="77777777" w:rsidR="00B15F57" w:rsidRPr="00DD752E" w:rsidRDefault="00B15F57" w:rsidP="00DD752E">
            <w:pPr>
              <w:jc w:val="center"/>
              <w:rPr>
                <w:b/>
                <w:bCs/>
                <w:color w:val="000000" w:themeColor="text1"/>
              </w:rPr>
            </w:pPr>
          </w:p>
          <w:p w14:paraId="655BA8DB" w14:textId="77777777" w:rsidR="00B15F57" w:rsidRPr="00DD752E" w:rsidRDefault="00B15F57" w:rsidP="00DD752E">
            <w:pPr>
              <w:jc w:val="center"/>
              <w:rPr>
                <w:b/>
                <w:bCs/>
                <w:color w:val="000000" w:themeColor="text1"/>
              </w:rPr>
            </w:pPr>
            <w:bookmarkStart w:id="10" w:name="_Hlk134454792"/>
            <w:r w:rsidRPr="00DD752E">
              <w:rPr>
                <w:b/>
                <w:bCs/>
                <w:color w:val="000000" w:themeColor="text1"/>
              </w:rPr>
              <w:t>Marcel-Ioan BOLOȘ</w:t>
            </w:r>
            <w:bookmarkEnd w:id="9"/>
          </w:p>
          <w:bookmarkEnd w:id="10"/>
          <w:p w14:paraId="0869B520" w14:textId="77777777" w:rsidR="00B15F57" w:rsidRPr="00DD752E" w:rsidRDefault="00B15F57" w:rsidP="00DD752E">
            <w:pPr>
              <w:autoSpaceDE w:val="0"/>
              <w:autoSpaceDN w:val="0"/>
              <w:adjustRightInd w:val="0"/>
              <w:jc w:val="center"/>
              <w:rPr>
                <w:b/>
                <w:bCs/>
                <w:color w:val="000000" w:themeColor="text1"/>
              </w:rPr>
            </w:pPr>
          </w:p>
        </w:tc>
      </w:tr>
      <w:tr w:rsidR="00B15F57" w:rsidRPr="004E29B6" w14:paraId="4E012875" w14:textId="77777777" w:rsidTr="007E02DA">
        <w:tc>
          <w:tcPr>
            <w:tcW w:w="10528" w:type="dxa"/>
            <w:gridSpan w:val="2"/>
          </w:tcPr>
          <w:p w14:paraId="52C6FB44" w14:textId="77777777" w:rsidR="00FC40BD" w:rsidRDefault="00FC40BD" w:rsidP="004E29B6">
            <w:pPr>
              <w:ind w:left="720" w:hanging="720"/>
              <w:jc w:val="center"/>
              <w:rPr>
                <w:b/>
                <w:bCs/>
                <w:color w:val="000000" w:themeColor="text1"/>
              </w:rPr>
            </w:pPr>
          </w:p>
          <w:p w14:paraId="3224F9FE" w14:textId="77777777" w:rsidR="00FC40BD" w:rsidRDefault="00FC40BD" w:rsidP="004E29B6">
            <w:pPr>
              <w:ind w:left="720" w:hanging="720"/>
              <w:jc w:val="center"/>
              <w:rPr>
                <w:b/>
                <w:bCs/>
                <w:color w:val="000000" w:themeColor="text1"/>
              </w:rPr>
            </w:pPr>
          </w:p>
          <w:p w14:paraId="39B23972" w14:textId="7F27BA5A" w:rsidR="00B15F57" w:rsidRPr="00DD752E" w:rsidRDefault="00B15F57" w:rsidP="00DD752E">
            <w:pPr>
              <w:ind w:left="720" w:hanging="720"/>
              <w:jc w:val="center"/>
              <w:rPr>
                <w:b/>
                <w:bCs/>
                <w:color w:val="000000" w:themeColor="text1"/>
              </w:rPr>
            </w:pPr>
            <w:r w:rsidRPr="00DD752E">
              <w:rPr>
                <w:b/>
                <w:bCs/>
                <w:color w:val="000000" w:themeColor="text1"/>
              </w:rPr>
              <w:t>Avizatori:</w:t>
            </w:r>
          </w:p>
          <w:p w14:paraId="439360DC" w14:textId="77777777" w:rsidR="00B15F57" w:rsidRDefault="00B15F57" w:rsidP="004E29B6">
            <w:pPr>
              <w:ind w:left="720" w:hanging="720"/>
              <w:jc w:val="center"/>
              <w:rPr>
                <w:b/>
                <w:bCs/>
                <w:color w:val="000000" w:themeColor="text1"/>
              </w:rPr>
            </w:pPr>
          </w:p>
          <w:p w14:paraId="0552A143" w14:textId="77777777" w:rsidR="003C7EA7" w:rsidRPr="00DD752E" w:rsidRDefault="003C7EA7" w:rsidP="00DD752E">
            <w:pPr>
              <w:ind w:left="720" w:hanging="720"/>
              <w:jc w:val="center"/>
              <w:rPr>
                <w:b/>
                <w:bCs/>
                <w:color w:val="000000" w:themeColor="text1"/>
              </w:rPr>
            </w:pPr>
          </w:p>
        </w:tc>
      </w:tr>
      <w:tr w:rsidR="00B15F57" w:rsidRPr="004E29B6" w14:paraId="6AC3B0C2" w14:textId="77777777" w:rsidTr="007E02DA">
        <w:tc>
          <w:tcPr>
            <w:tcW w:w="10528" w:type="dxa"/>
            <w:gridSpan w:val="2"/>
          </w:tcPr>
          <w:p w14:paraId="1D79F549" w14:textId="77777777" w:rsidR="00B15F57" w:rsidRPr="00DD752E" w:rsidRDefault="00B15F57" w:rsidP="00DD752E">
            <w:pPr>
              <w:autoSpaceDE w:val="0"/>
              <w:autoSpaceDN w:val="0"/>
              <w:adjustRightInd w:val="0"/>
              <w:jc w:val="center"/>
              <w:rPr>
                <w:b/>
                <w:bCs/>
                <w:color w:val="000000" w:themeColor="text1"/>
              </w:rPr>
            </w:pPr>
          </w:p>
        </w:tc>
      </w:tr>
      <w:tr w:rsidR="00B15F57" w:rsidRPr="004E29B6" w14:paraId="684622FD" w14:textId="77777777" w:rsidTr="007E02DA">
        <w:trPr>
          <w:trHeight w:val="1477"/>
        </w:trPr>
        <w:tc>
          <w:tcPr>
            <w:tcW w:w="5264" w:type="dxa"/>
          </w:tcPr>
          <w:p w14:paraId="7060E800" w14:textId="77777777" w:rsidR="00B15F57" w:rsidRPr="00DD752E" w:rsidRDefault="00B15F57" w:rsidP="00DD752E">
            <w:pPr>
              <w:jc w:val="center"/>
              <w:rPr>
                <w:b/>
                <w:bCs/>
                <w:color w:val="000000" w:themeColor="text1"/>
              </w:rPr>
            </w:pPr>
            <w:r w:rsidRPr="00DD752E">
              <w:rPr>
                <w:b/>
                <w:bCs/>
                <w:color w:val="000000" w:themeColor="text1"/>
              </w:rPr>
              <w:t>MINISTRUL SĂNĂTĂȚII</w:t>
            </w:r>
          </w:p>
          <w:p w14:paraId="50B14CEC" w14:textId="77777777" w:rsidR="00B15F57" w:rsidRPr="00DD752E" w:rsidRDefault="00B15F57" w:rsidP="00DD752E">
            <w:pPr>
              <w:jc w:val="center"/>
              <w:rPr>
                <w:b/>
                <w:bCs/>
                <w:color w:val="000000" w:themeColor="text1"/>
              </w:rPr>
            </w:pPr>
            <w:r w:rsidRPr="00DD752E">
              <w:rPr>
                <w:b/>
                <w:bCs/>
                <w:color w:val="000000" w:themeColor="text1"/>
              </w:rPr>
              <w:t>Alexandru RAFILA</w:t>
            </w:r>
          </w:p>
          <w:p w14:paraId="3CE0DC91" w14:textId="77777777" w:rsidR="00B15F57" w:rsidRPr="00DD752E" w:rsidRDefault="00B15F57" w:rsidP="00DD752E">
            <w:pPr>
              <w:jc w:val="center"/>
              <w:rPr>
                <w:b/>
                <w:bCs/>
                <w:color w:val="000000" w:themeColor="text1"/>
              </w:rPr>
            </w:pPr>
          </w:p>
          <w:p w14:paraId="197A708F" w14:textId="77777777" w:rsidR="00B15F57" w:rsidRPr="00DD752E" w:rsidRDefault="00B15F57" w:rsidP="00DD752E">
            <w:pPr>
              <w:jc w:val="center"/>
              <w:rPr>
                <w:b/>
                <w:bCs/>
                <w:color w:val="000000" w:themeColor="text1"/>
              </w:rPr>
            </w:pPr>
          </w:p>
        </w:tc>
        <w:tc>
          <w:tcPr>
            <w:tcW w:w="5264" w:type="dxa"/>
          </w:tcPr>
          <w:p w14:paraId="0B3B3B6E" w14:textId="77777777" w:rsidR="00FC40BD" w:rsidRPr="00C00122" w:rsidRDefault="00FC40BD" w:rsidP="00FC40BD">
            <w:pPr>
              <w:autoSpaceDE w:val="0"/>
              <w:autoSpaceDN w:val="0"/>
              <w:adjustRightInd w:val="0"/>
              <w:jc w:val="center"/>
              <w:rPr>
                <w:b/>
                <w:bCs/>
                <w:color w:val="000000" w:themeColor="text1"/>
              </w:rPr>
            </w:pPr>
            <w:r w:rsidRPr="00C00122">
              <w:rPr>
                <w:b/>
                <w:bCs/>
                <w:color w:val="000000" w:themeColor="text1"/>
              </w:rPr>
              <w:t>MINISTRUL DEZVOLTĂRII, LUCRĂRILOR PUBLICE ȘI ADMINISTRAȚIEI</w:t>
            </w:r>
          </w:p>
          <w:p w14:paraId="045C3358" w14:textId="64D0BA11" w:rsidR="00FC40BD" w:rsidRDefault="00FC40BD" w:rsidP="004E29B6">
            <w:pPr>
              <w:autoSpaceDE w:val="0"/>
              <w:autoSpaceDN w:val="0"/>
              <w:adjustRightInd w:val="0"/>
              <w:jc w:val="center"/>
              <w:rPr>
                <w:b/>
                <w:bCs/>
                <w:color w:val="000000" w:themeColor="text1"/>
              </w:rPr>
            </w:pPr>
            <w:r w:rsidRPr="00C00122">
              <w:rPr>
                <w:b/>
                <w:bCs/>
                <w:color w:val="000000" w:themeColor="text1"/>
              </w:rPr>
              <w:t xml:space="preserve">Attila-Zoltán </w:t>
            </w:r>
            <w:hyperlink r:id="rId8" w:tgtFrame="_blank" w:history="1">
              <w:r w:rsidRPr="00C00122">
                <w:rPr>
                  <w:b/>
                  <w:bCs/>
                  <w:color w:val="000000" w:themeColor="text1"/>
                </w:rPr>
                <w:t xml:space="preserve">CSEKE </w:t>
              </w:r>
            </w:hyperlink>
            <w:r w:rsidRPr="00C00122">
              <w:rPr>
                <w:b/>
                <w:bCs/>
                <w:color w:val="000000" w:themeColor="text1"/>
              </w:rPr>
              <w:t> </w:t>
            </w:r>
          </w:p>
          <w:p w14:paraId="5CB79459" w14:textId="77777777" w:rsidR="00FC40BD" w:rsidRDefault="00FC40BD" w:rsidP="004E29B6">
            <w:pPr>
              <w:autoSpaceDE w:val="0"/>
              <w:autoSpaceDN w:val="0"/>
              <w:adjustRightInd w:val="0"/>
              <w:jc w:val="center"/>
              <w:rPr>
                <w:b/>
                <w:bCs/>
                <w:color w:val="000000" w:themeColor="text1"/>
              </w:rPr>
            </w:pPr>
          </w:p>
          <w:p w14:paraId="27C9B575" w14:textId="77777777" w:rsidR="00FC40BD" w:rsidRDefault="00FC40BD" w:rsidP="004E29B6">
            <w:pPr>
              <w:autoSpaceDE w:val="0"/>
              <w:autoSpaceDN w:val="0"/>
              <w:adjustRightInd w:val="0"/>
              <w:jc w:val="center"/>
              <w:rPr>
                <w:b/>
                <w:bCs/>
                <w:color w:val="000000" w:themeColor="text1"/>
              </w:rPr>
            </w:pPr>
          </w:p>
          <w:p w14:paraId="3CC77560" w14:textId="77777777" w:rsidR="00FC40BD" w:rsidRDefault="00FC40BD" w:rsidP="004E29B6">
            <w:pPr>
              <w:autoSpaceDE w:val="0"/>
              <w:autoSpaceDN w:val="0"/>
              <w:adjustRightInd w:val="0"/>
              <w:jc w:val="center"/>
              <w:rPr>
                <w:b/>
                <w:bCs/>
                <w:color w:val="000000" w:themeColor="text1"/>
              </w:rPr>
            </w:pPr>
          </w:p>
          <w:p w14:paraId="0ABF2FD2" w14:textId="77777777" w:rsidR="00FC40BD" w:rsidRDefault="00FC40BD" w:rsidP="004E29B6">
            <w:pPr>
              <w:autoSpaceDE w:val="0"/>
              <w:autoSpaceDN w:val="0"/>
              <w:adjustRightInd w:val="0"/>
              <w:jc w:val="center"/>
              <w:rPr>
                <w:b/>
                <w:bCs/>
                <w:color w:val="000000" w:themeColor="text1"/>
              </w:rPr>
            </w:pPr>
          </w:p>
          <w:p w14:paraId="7DCACDCD" w14:textId="77777777" w:rsidR="00FC40BD" w:rsidRPr="00DD752E" w:rsidRDefault="00FC40BD" w:rsidP="00DD752E">
            <w:pPr>
              <w:autoSpaceDE w:val="0"/>
              <w:autoSpaceDN w:val="0"/>
              <w:adjustRightInd w:val="0"/>
              <w:jc w:val="center"/>
              <w:rPr>
                <w:b/>
                <w:bCs/>
                <w:color w:val="000000" w:themeColor="text1"/>
              </w:rPr>
            </w:pPr>
          </w:p>
        </w:tc>
      </w:tr>
      <w:tr w:rsidR="007E02DA" w:rsidRPr="004E29B6" w14:paraId="725256CC" w14:textId="77777777" w:rsidTr="007E02DA">
        <w:trPr>
          <w:trHeight w:val="1477"/>
        </w:trPr>
        <w:tc>
          <w:tcPr>
            <w:tcW w:w="5264" w:type="dxa"/>
          </w:tcPr>
          <w:p w14:paraId="5CAF611E" w14:textId="5F7B7373" w:rsidR="00FC40BD" w:rsidRPr="0069285A" w:rsidRDefault="00FC40BD" w:rsidP="00FC40BD">
            <w:pPr>
              <w:autoSpaceDE w:val="0"/>
              <w:autoSpaceDN w:val="0"/>
              <w:adjustRightInd w:val="0"/>
              <w:jc w:val="center"/>
              <w:rPr>
                <w:b/>
                <w:bCs/>
                <w:color w:val="000000" w:themeColor="text1"/>
              </w:rPr>
            </w:pPr>
            <w:r w:rsidRPr="0069285A">
              <w:rPr>
                <w:b/>
                <w:bCs/>
                <w:color w:val="000000" w:themeColor="text1"/>
              </w:rPr>
              <w:t>MINISTRUL FINANȚELOR</w:t>
            </w:r>
          </w:p>
          <w:p w14:paraId="4F2DB5CE" w14:textId="77777777" w:rsidR="00FC40BD" w:rsidRDefault="00FC40BD" w:rsidP="00FC40BD">
            <w:pPr>
              <w:autoSpaceDE w:val="0"/>
              <w:autoSpaceDN w:val="0"/>
              <w:adjustRightInd w:val="0"/>
              <w:jc w:val="center"/>
              <w:rPr>
                <w:b/>
                <w:bCs/>
                <w:color w:val="000000" w:themeColor="text1"/>
              </w:rPr>
            </w:pPr>
            <w:r w:rsidRPr="0069285A">
              <w:rPr>
                <w:b/>
                <w:bCs/>
                <w:color w:val="000000" w:themeColor="text1"/>
              </w:rPr>
              <w:t>Adrian CÂCIU</w:t>
            </w:r>
            <w:r w:rsidRPr="0069285A" w:rsidDel="00BE3EAA">
              <w:rPr>
                <w:b/>
                <w:bCs/>
                <w:color w:val="000000" w:themeColor="text1"/>
              </w:rPr>
              <w:t xml:space="preserve"> </w:t>
            </w:r>
          </w:p>
          <w:p w14:paraId="2581B356" w14:textId="27A48DFB" w:rsidR="007E02DA" w:rsidRPr="00DD752E" w:rsidRDefault="007E02DA" w:rsidP="00DD752E">
            <w:pPr>
              <w:autoSpaceDE w:val="0"/>
              <w:autoSpaceDN w:val="0"/>
              <w:adjustRightInd w:val="0"/>
              <w:jc w:val="center"/>
              <w:rPr>
                <w:b/>
                <w:bCs/>
                <w:color w:val="000000" w:themeColor="text1"/>
              </w:rPr>
            </w:pPr>
          </w:p>
          <w:p w14:paraId="62D71A39" w14:textId="77777777" w:rsidR="007E02DA" w:rsidRPr="00DD752E" w:rsidRDefault="007E02DA" w:rsidP="00DD752E">
            <w:pPr>
              <w:jc w:val="center"/>
              <w:rPr>
                <w:b/>
                <w:bCs/>
                <w:color w:val="000000" w:themeColor="text1"/>
              </w:rPr>
            </w:pPr>
          </w:p>
        </w:tc>
        <w:tc>
          <w:tcPr>
            <w:tcW w:w="5264" w:type="dxa"/>
          </w:tcPr>
          <w:p w14:paraId="23048DFF" w14:textId="77777777" w:rsidR="007E02DA" w:rsidRPr="00DD752E" w:rsidRDefault="007E02DA" w:rsidP="00DD752E">
            <w:pPr>
              <w:autoSpaceDE w:val="0"/>
              <w:autoSpaceDN w:val="0"/>
              <w:adjustRightInd w:val="0"/>
              <w:jc w:val="center"/>
              <w:rPr>
                <w:b/>
                <w:bCs/>
                <w:color w:val="000000" w:themeColor="text1"/>
              </w:rPr>
            </w:pPr>
            <w:r w:rsidRPr="00DD752E">
              <w:rPr>
                <w:b/>
                <w:bCs/>
                <w:color w:val="000000" w:themeColor="text1"/>
              </w:rPr>
              <w:t>MINISTRUL JUSTIȚIEI</w:t>
            </w:r>
          </w:p>
          <w:p w14:paraId="7115F484" w14:textId="00C83A32" w:rsidR="007E02DA" w:rsidRPr="00DD752E" w:rsidRDefault="007E02DA" w:rsidP="00DD752E">
            <w:pPr>
              <w:autoSpaceDE w:val="0"/>
              <w:autoSpaceDN w:val="0"/>
              <w:adjustRightInd w:val="0"/>
              <w:jc w:val="center"/>
              <w:rPr>
                <w:b/>
                <w:bCs/>
                <w:color w:val="000000" w:themeColor="text1"/>
              </w:rPr>
            </w:pPr>
            <w:r w:rsidRPr="00DD752E">
              <w:rPr>
                <w:b/>
                <w:bCs/>
                <w:color w:val="000000" w:themeColor="text1"/>
              </w:rPr>
              <w:t>Marian-Cătălin PREDOIU</w:t>
            </w:r>
          </w:p>
        </w:tc>
      </w:tr>
    </w:tbl>
    <w:p w14:paraId="5F4DD62A" w14:textId="547EC702" w:rsidR="00733C32" w:rsidRDefault="00733C32" w:rsidP="004E29B6"/>
    <w:p w14:paraId="785875E1" w14:textId="77777777" w:rsidR="00D240F7" w:rsidRDefault="00D240F7" w:rsidP="004E29B6"/>
    <w:p w14:paraId="2C8F7A8C" w14:textId="77777777" w:rsidR="00D240F7" w:rsidRDefault="00D240F7" w:rsidP="004E29B6"/>
    <w:p w14:paraId="1A6A842D" w14:textId="77777777" w:rsidR="00D240F7" w:rsidRDefault="00D240F7" w:rsidP="004E29B6"/>
    <w:p w14:paraId="03A01428" w14:textId="77777777" w:rsidR="00D240F7" w:rsidRDefault="00D240F7" w:rsidP="004E29B6"/>
    <w:p w14:paraId="6572E491" w14:textId="77777777" w:rsidR="00D240F7" w:rsidRDefault="00D240F7" w:rsidP="004E29B6"/>
    <w:p w14:paraId="4F853EDE" w14:textId="77777777" w:rsidR="00D240F7" w:rsidRDefault="00D240F7" w:rsidP="004E29B6"/>
    <w:p w14:paraId="2397CDB4" w14:textId="77777777" w:rsidR="00D240F7" w:rsidRDefault="00D240F7" w:rsidP="004E29B6"/>
    <w:p w14:paraId="5596F113" w14:textId="77777777" w:rsidR="00D240F7" w:rsidRDefault="00D240F7" w:rsidP="004E29B6"/>
    <w:p w14:paraId="74D36086" w14:textId="77777777" w:rsidR="00D240F7" w:rsidRDefault="00D240F7" w:rsidP="004E29B6"/>
    <w:p w14:paraId="794ED893" w14:textId="77777777" w:rsidR="00D240F7" w:rsidRDefault="00D240F7" w:rsidP="004E29B6"/>
    <w:p w14:paraId="4738A431" w14:textId="77777777" w:rsidR="00D240F7" w:rsidRDefault="00D240F7" w:rsidP="004E29B6"/>
    <w:p w14:paraId="74B8A179" w14:textId="77777777" w:rsidR="00D240F7" w:rsidRDefault="00D240F7" w:rsidP="004E29B6"/>
    <w:p w14:paraId="27923606" w14:textId="77777777" w:rsidR="00D240F7" w:rsidRDefault="00D240F7" w:rsidP="004E29B6"/>
    <w:p w14:paraId="78F53BE7" w14:textId="77777777" w:rsidR="00D240F7" w:rsidRDefault="00D240F7" w:rsidP="004E29B6"/>
    <w:p w14:paraId="1FBEB18E" w14:textId="77777777" w:rsidR="00D240F7" w:rsidRDefault="00D240F7" w:rsidP="004E29B6"/>
    <w:p w14:paraId="37BEDA9B" w14:textId="77777777" w:rsidR="00D240F7" w:rsidRDefault="00D240F7" w:rsidP="004E29B6"/>
    <w:p w14:paraId="75482BD1" w14:textId="77777777" w:rsidR="00746366" w:rsidRPr="00DD752E" w:rsidRDefault="00746366" w:rsidP="00DD752E">
      <w:pPr>
        <w:rPr>
          <w:b/>
          <w:bCs/>
        </w:rPr>
      </w:pPr>
    </w:p>
    <w:sectPr w:rsidR="00746366" w:rsidRPr="00DD752E" w:rsidSect="008E1534">
      <w:footerReference w:type="even" r:id="rId9"/>
      <w:footerReference w:type="default" r:id="rId10"/>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16E78" w14:textId="77777777" w:rsidR="00DE2051" w:rsidRDefault="00DE2051">
      <w:r>
        <w:separator/>
      </w:r>
    </w:p>
  </w:endnote>
  <w:endnote w:type="continuationSeparator" w:id="0">
    <w:p w14:paraId="462E540C" w14:textId="77777777" w:rsidR="00DE2051" w:rsidRDefault="00DE2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000000"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000000"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ECE9E" w14:textId="77777777" w:rsidR="00DE2051" w:rsidRDefault="00DE2051">
      <w:r>
        <w:separator/>
      </w:r>
    </w:p>
  </w:footnote>
  <w:footnote w:type="continuationSeparator" w:id="0">
    <w:p w14:paraId="35DA741E" w14:textId="77777777" w:rsidR="00DE2051" w:rsidRDefault="00DE2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A233C"/>
    <w:multiLevelType w:val="hybridMultilevel"/>
    <w:tmpl w:val="6AB87488"/>
    <w:lvl w:ilvl="0" w:tplc="0B9CAFB0">
      <w:start w:val="1"/>
      <w:numFmt w:val="lowerLetter"/>
      <w:lvlText w:val="%1)"/>
      <w:lvlJc w:val="left"/>
      <w:pPr>
        <w:ind w:left="720" w:hanging="360"/>
      </w:pPr>
      <w:rPr>
        <w:rFonts w:ascii="Trebuchet MS" w:eastAsiaTheme="minorHAnsi" w:hAnsi="Trebuchet MS" w:cstheme="minorHAnsi"/>
        <w:color w:val="auto"/>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F73CEB"/>
    <w:multiLevelType w:val="hybridMultilevel"/>
    <w:tmpl w:val="DF36CF2A"/>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6A6122"/>
    <w:multiLevelType w:val="hybridMultilevel"/>
    <w:tmpl w:val="55CE4188"/>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3301C6"/>
    <w:multiLevelType w:val="hybridMultilevel"/>
    <w:tmpl w:val="4AE21252"/>
    <w:lvl w:ilvl="0" w:tplc="3C7E203A">
      <w:start w:val="1"/>
      <w:numFmt w:val="lowerLetter"/>
      <w:lvlText w:val="%1)"/>
      <w:lvlJc w:val="left"/>
      <w:pPr>
        <w:ind w:left="720" w:hanging="360"/>
      </w:pPr>
      <w:rPr>
        <w:rFonts w:ascii="Trebuchet MS" w:eastAsiaTheme="minorHAnsi" w:hAnsi="Trebuchet MS" w:cstheme="minorHAnsi"/>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6067933"/>
    <w:multiLevelType w:val="hybridMultilevel"/>
    <w:tmpl w:val="BB60D95E"/>
    <w:lvl w:ilvl="0" w:tplc="2A96058A">
      <w:numFmt w:val="bullet"/>
      <w:lvlText w:val="-"/>
      <w:lvlJc w:val="left"/>
      <w:pPr>
        <w:ind w:left="720" w:hanging="360"/>
      </w:pPr>
      <w:rPr>
        <w:rFonts w:ascii="Trebuchet MS" w:eastAsiaTheme="minorEastAsia"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A96030"/>
    <w:multiLevelType w:val="hybridMultilevel"/>
    <w:tmpl w:val="DAAA429E"/>
    <w:lvl w:ilvl="0" w:tplc="FAB230D0">
      <w:start w:val="2"/>
      <w:numFmt w:val="bullet"/>
      <w:lvlText w:val="-"/>
      <w:lvlJc w:val="left"/>
      <w:pPr>
        <w:ind w:left="1440" w:hanging="360"/>
      </w:pPr>
      <w:rPr>
        <w:rFonts w:ascii="Calibri Light" w:eastAsia="Times New Roman" w:hAnsi="Calibri Light" w:cs="Calibri Ligh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5F3AD2"/>
    <w:multiLevelType w:val="hybridMultilevel"/>
    <w:tmpl w:val="8EB2DDD0"/>
    <w:lvl w:ilvl="0" w:tplc="F4C49460">
      <w:start w:val="1"/>
      <w:numFmt w:val="decimal"/>
      <w:lvlText w:val="(%1)"/>
      <w:lvlJc w:val="left"/>
      <w:pPr>
        <w:ind w:left="1143" w:hanging="435"/>
      </w:pPr>
      <w:rPr>
        <w:rFonts w:cstheme="minorBidi"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4" w15:restartNumberingAfterBreak="0">
    <w:nsid w:val="45DB13CC"/>
    <w:multiLevelType w:val="hybridMultilevel"/>
    <w:tmpl w:val="2EEC95D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4C84FE7"/>
    <w:multiLevelType w:val="hybridMultilevel"/>
    <w:tmpl w:val="1D7C7ADE"/>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054EE8"/>
    <w:multiLevelType w:val="hybridMultilevel"/>
    <w:tmpl w:val="9B20C224"/>
    <w:lvl w:ilvl="0" w:tplc="0D6C67E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178EB"/>
    <w:multiLevelType w:val="hybridMultilevel"/>
    <w:tmpl w:val="58147262"/>
    <w:lvl w:ilvl="0" w:tplc="8160D01C">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8" w15:restartNumberingAfterBreak="0">
    <w:nsid w:val="589A5BCE"/>
    <w:multiLevelType w:val="hybridMultilevel"/>
    <w:tmpl w:val="006C9B9E"/>
    <w:lvl w:ilvl="0" w:tplc="FAB230D0">
      <w:start w:val="2"/>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BB5B6A"/>
    <w:multiLevelType w:val="hybridMultilevel"/>
    <w:tmpl w:val="2EEC95D0"/>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38F7D92"/>
    <w:multiLevelType w:val="hybridMultilevel"/>
    <w:tmpl w:val="DA2422B4"/>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6"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16cid:durableId="914704846">
    <w:abstractNumId w:val="1"/>
  </w:num>
  <w:num w:numId="2" w16cid:durableId="1116368225">
    <w:abstractNumId w:val="26"/>
  </w:num>
  <w:num w:numId="3" w16cid:durableId="1032614445">
    <w:abstractNumId w:val="21"/>
  </w:num>
  <w:num w:numId="4" w16cid:durableId="904804096">
    <w:abstractNumId w:val="4"/>
  </w:num>
  <w:num w:numId="5" w16cid:durableId="1020742516">
    <w:abstractNumId w:val="10"/>
  </w:num>
  <w:num w:numId="6" w16cid:durableId="1949894442">
    <w:abstractNumId w:val="24"/>
  </w:num>
  <w:num w:numId="7" w16cid:durableId="2092459680">
    <w:abstractNumId w:val="9"/>
  </w:num>
  <w:num w:numId="8" w16cid:durableId="17277530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569825">
    <w:abstractNumId w:val="23"/>
  </w:num>
  <w:num w:numId="10" w16cid:durableId="985427756">
    <w:abstractNumId w:val="19"/>
  </w:num>
  <w:num w:numId="11" w16cid:durableId="1387415929">
    <w:abstractNumId w:val="11"/>
  </w:num>
  <w:num w:numId="12" w16cid:durableId="1487210649">
    <w:abstractNumId w:val="8"/>
  </w:num>
  <w:num w:numId="13" w16cid:durableId="1228762869">
    <w:abstractNumId w:val="5"/>
  </w:num>
  <w:num w:numId="14" w16cid:durableId="905145578">
    <w:abstractNumId w:val="15"/>
  </w:num>
  <w:num w:numId="15" w16cid:durableId="2135900192">
    <w:abstractNumId w:val="17"/>
  </w:num>
  <w:num w:numId="16" w16cid:durableId="562911829">
    <w:abstractNumId w:val="7"/>
  </w:num>
  <w:num w:numId="17" w16cid:durableId="548688718">
    <w:abstractNumId w:val="7"/>
  </w:num>
  <w:num w:numId="18" w16cid:durableId="808322634">
    <w:abstractNumId w:val="6"/>
  </w:num>
  <w:num w:numId="19" w16cid:durableId="369114746">
    <w:abstractNumId w:val="13"/>
  </w:num>
  <w:num w:numId="20" w16cid:durableId="1157649401">
    <w:abstractNumId w:val="0"/>
  </w:num>
  <w:num w:numId="21" w16cid:durableId="28381675">
    <w:abstractNumId w:val="25"/>
  </w:num>
  <w:num w:numId="22" w16cid:durableId="896666849">
    <w:abstractNumId w:val="18"/>
  </w:num>
  <w:num w:numId="23" w16cid:durableId="1279751628">
    <w:abstractNumId w:val="16"/>
  </w:num>
  <w:num w:numId="24" w16cid:durableId="1567296190">
    <w:abstractNumId w:val="22"/>
  </w:num>
  <w:num w:numId="25" w16cid:durableId="913733714">
    <w:abstractNumId w:val="3"/>
  </w:num>
  <w:num w:numId="26" w16cid:durableId="1128474771">
    <w:abstractNumId w:val="20"/>
  </w:num>
  <w:num w:numId="27" w16cid:durableId="783499344">
    <w:abstractNumId w:val="2"/>
  </w:num>
  <w:num w:numId="28" w16cid:durableId="705518894">
    <w:abstractNumId w:val="14"/>
  </w:num>
  <w:num w:numId="29" w16cid:durableId="4071910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318A"/>
    <w:rsid w:val="00013621"/>
    <w:rsid w:val="0001442E"/>
    <w:rsid w:val="000155D5"/>
    <w:rsid w:val="000160F3"/>
    <w:rsid w:val="00017D04"/>
    <w:rsid w:val="0002299E"/>
    <w:rsid w:val="00024F37"/>
    <w:rsid w:val="00025015"/>
    <w:rsid w:val="000260DD"/>
    <w:rsid w:val="000265F7"/>
    <w:rsid w:val="00026B13"/>
    <w:rsid w:val="00027469"/>
    <w:rsid w:val="00031D8D"/>
    <w:rsid w:val="0003205B"/>
    <w:rsid w:val="00035D17"/>
    <w:rsid w:val="000369EF"/>
    <w:rsid w:val="0003749F"/>
    <w:rsid w:val="00040B7B"/>
    <w:rsid w:val="00043471"/>
    <w:rsid w:val="00043911"/>
    <w:rsid w:val="00044209"/>
    <w:rsid w:val="0004452D"/>
    <w:rsid w:val="00046B44"/>
    <w:rsid w:val="000503A8"/>
    <w:rsid w:val="00054869"/>
    <w:rsid w:val="00054DF8"/>
    <w:rsid w:val="000563C0"/>
    <w:rsid w:val="00057629"/>
    <w:rsid w:val="00057EC8"/>
    <w:rsid w:val="00060E2F"/>
    <w:rsid w:val="00061E6F"/>
    <w:rsid w:val="0006216F"/>
    <w:rsid w:val="00062BA0"/>
    <w:rsid w:val="00063E49"/>
    <w:rsid w:val="0006409E"/>
    <w:rsid w:val="00064A6B"/>
    <w:rsid w:val="00064E28"/>
    <w:rsid w:val="00066534"/>
    <w:rsid w:val="00070830"/>
    <w:rsid w:val="00073195"/>
    <w:rsid w:val="000733D3"/>
    <w:rsid w:val="0007609F"/>
    <w:rsid w:val="00076C55"/>
    <w:rsid w:val="000776D2"/>
    <w:rsid w:val="000808EE"/>
    <w:rsid w:val="00081475"/>
    <w:rsid w:val="00083DB6"/>
    <w:rsid w:val="00083EAF"/>
    <w:rsid w:val="00084EE5"/>
    <w:rsid w:val="00084F56"/>
    <w:rsid w:val="00085904"/>
    <w:rsid w:val="00086114"/>
    <w:rsid w:val="00086BF8"/>
    <w:rsid w:val="00087383"/>
    <w:rsid w:val="00087C48"/>
    <w:rsid w:val="00090676"/>
    <w:rsid w:val="0009222E"/>
    <w:rsid w:val="00092376"/>
    <w:rsid w:val="0009320D"/>
    <w:rsid w:val="00094481"/>
    <w:rsid w:val="000949D2"/>
    <w:rsid w:val="00094AE3"/>
    <w:rsid w:val="00095300"/>
    <w:rsid w:val="0009621B"/>
    <w:rsid w:val="000A06E8"/>
    <w:rsid w:val="000A437E"/>
    <w:rsid w:val="000A6298"/>
    <w:rsid w:val="000A71F1"/>
    <w:rsid w:val="000B036B"/>
    <w:rsid w:val="000B09E1"/>
    <w:rsid w:val="000B1818"/>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687D"/>
    <w:rsid w:val="000C7D63"/>
    <w:rsid w:val="000C7EAF"/>
    <w:rsid w:val="000C7EEC"/>
    <w:rsid w:val="000D0889"/>
    <w:rsid w:val="000D1A6F"/>
    <w:rsid w:val="000D21F9"/>
    <w:rsid w:val="000D23B9"/>
    <w:rsid w:val="000D2B20"/>
    <w:rsid w:val="000D315E"/>
    <w:rsid w:val="000D403B"/>
    <w:rsid w:val="000D4132"/>
    <w:rsid w:val="000D4C09"/>
    <w:rsid w:val="000E0EA4"/>
    <w:rsid w:val="000E2C2D"/>
    <w:rsid w:val="000E3A58"/>
    <w:rsid w:val="000E6FCF"/>
    <w:rsid w:val="000E74F5"/>
    <w:rsid w:val="000F26C2"/>
    <w:rsid w:val="000F40EF"/>
    <w:rsid w:val="000F6105"/>
    <w:rsid w:val="000F7896"/>
    <w:rsid w:val="00100251"/>
    <w:rsid w:val="00101A9B"/>
    <w:rsid w:val="001023B0"/>
    <w:rsid w:val="001031D2"/>
    <w:rsid w:val="0010482B"/>
    <w:rsid w:val="00105808"/>
    <w:rsid w:val="001067AA"/>
    <w:rsid w:val="00106FB3"/>
    <w:rsid w:val="00106FE8"/>
    <w:rsid w:val="00107736"/>
    <w:rsid w:val="00107740"/>
    <w:rsid w:val="001077E3"/>
    <w:rsid w:val="00107E28"/>
    <w:rsid w:val="001110C2"/>
    <w:rsid w:val="00112C80"/>
    <w:rsid w:val="00112E9E"/>
    <w:rsid w:val="001147BA"/>
    <w:rsid w:val="0011501B"/>
    <w:rsid w:val="00115083"/>
    <w:rsid w:val="00115131"/>
    <w:rsid w:val="00121CCC"/>
    <w:rsid w:val="001250F7"/>
    <w:rsid w:val="00125245"/>
    <w:rsid w:val="00126BBF"/>
    <w:rsid w:val="00130ADF"/>
    <w:rsid w:val="00131281"/>
    <w:rsid w:val="001313D8"/>
    <w:rsid w:val="0013230E"/>
    <w:rsid w:val="00133A3B"/>
    <w:rsid w:val="0013619D"/>
    <w:rsid w:val="0013676D"/>
    <w:rsid w:val="00137A13"/>
    <w:rsid w:val="001459BC"/>
    <w:rsid w:val="0014608E"/>
    <w:rsid w:val="0014728C"/>
    <w:rsid w:val="001500EA"/>
    <w:rsid w:val="00152085"/>
    <w:rsid w:val="0015211C"/>
    <w:rsid w:val="001528E8"/>
    <w:rsid w:val="00152C2F"/>
    <w:rsid w:val="00153B2A"/>
    <w:rsid w:val="00153DE2"/>
    <w:rsid w:val="0015446A"/>
    <w:rsid w:val="001544DC"/>
    <w:rsid w:val="0015762E"/>
    <w:rsid w:val="00157B5B"/>
    <w:rsid w:val="00160148"/>
    <w:rsid w:val="00161A61"/>
    <w:rsid w:val="00164F79"/>
    <w:rsid w:val="00164FF3"/>
    <w:rsid w:val="00165A07"/>
    <w:rsid w:val="00165C92"/>
    <w:rsid w:val="00165D35"/>
    <w:rsid w:val="0016702F"/>
    <w:rsid w:val="0016785A"/>
    <w:rsid w:val="00167EF9"/>
    <w:rsid w:val="0017030A"/>
    <w:rsid w:val="00170D4E"/>
    <w:rsid w:val="00172493"/>
    <w:rsid w:val="00173986"/>
    <w:rsid w:val="0017630C"/>
    <w:rsid w:val="001776C1"/>
    <w:rsid w:val="00177CD3"/>
    <w:rsid w:val="00177EC3"/>
    <w:rsid w:val="00180B7B"/>
    <w:rsid w:val="00181323"/>
    <w:rsid w:val="0018173D"/>
    <w:rsid w:val="00181DB6"/>
    <w:rsid w:val="0019189C"/>
    <w:rsid w:val="001919CC"/>
    <w:rsid w:val="00192482"/>
    <w:rsid w:val="0019387C"/>
    <w:rsid w:val="001945C9"/>
    <w:rsid w:val="00196B6D"/>
    <w:rsid w:val="00196C97"/>
    <w:rsid w:val="001A0854"/>
    <w:rsid w:val="001A0AEA"/>
    <w:rsid w:val="001A1AA3"/>
    <w:rsid w:val="001A1AE5"/>
    <w:rsid w:val="001A1D31"/>
    <w:rsid w:val="001A2A6E"/>
    <w:rsid w:val="001A374F"/>
    <w:rsid w:val="001A39BF"/>
    <w:rsid w:val="001A4420"/>
    <w:rsid w:val="001A78A0"/>
    <w:rsid w:val="001A7C31"/>
    <w:rsid w:val="001B07E7"/>
    <w:rsid w:val="001B1912"/>
    <w:rsid w:val="001B1AD6"/>
    <w:rsid w:val="001B22D1"/>
    <w:rsid w:val="001B23D0"/>
    <w:rsid w:val="001B2B36"/>
    <w:rsid w:val="001B3B27"/>
    <w:rsid w:val="001B45B8"/>
    <w:rsid w:val="001B4FE1"/>
    <w:rsid w:val="001B6DD8"/>
    <w:rsid w:val="001B7961"/>
    <w:rsid w:val="001C2EA5"/>
    <w:rsid w:val="001C33B5"/>
    <w:rsid w:val="001C3EF4"/>
    <w:rsid w:val="001C4735"/>
    <w:rsid w:val="001C55B8"/>
    <w:rsid w:val="001C6BF4"/>
    <w:rsid w:val="001C7510"/>
    <w:rsid w:val="001C7F48"/>
    <w:rsid w:val="001D0467"/>
    <w:rsid w:val="001D07B0"/>
    <w:rsid w:val="001D3C3E"/>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418F"/>
    <w:rsid w:val="001F6D5C"/>
    <w:rsid w:val="001F700D"/>
    <w:rsid w:val="001F7034"/>
    <w:rsid w:val="001F733F"/>
    <w:rsid w:val="00200720"/>
    <w:rsid w:val="002073C4"/>
    <w:rsid w:val="00210E9C"/>
    <w:rsid w:val="00211627"/>
    <w:rsid w:val="002116FE"/>
    <w:rsid w:val="002130C3"/>
    <w:rsid w:val="00213877"/>
    <w:rsid w:val="00213BDB"/>
    <w:rsid w:val="002153E2"/>
    <w:rsid w:val="00217238"/>
    <w:rsid w:val="00217BF3"/>
    <w:rsid w:val="00220BDB"/>
    <w:rsid w:val="00221987"/>
    <w:rsid w:val="00221B2B"/>
    <w:rsid w:val="00223491"/>
    <w:rsid w:val="00223AFB"/>
    <w:rsid w:val="00225653"/>
    <w:rsid w:val="00227A62"/>
    <w:rsid w:val="00227C41"/>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46924"/>
    <w:rsid w:val="00250C5C"/>
    <w:rsid w:val="002510E7"/>
    <w:rsid w:val="00251605"/>
    <w:rsid w:val="002550E6"/>
    <w:rsid w:val="00256383"/>
    <w:rsid w:val="0025682E"/>
    <w:rsid w:val="00260E13"/>
    <w:rsid w:val="002623AD"/>
    <w:rsid w:val="00262462"/>
    <w:rsid w:val="0026264B"/>
    <w:rsid w:val="00262AAC"/>
    <w:rsid w:val="00262CFA"/>
    <w:rsid w:val="00267571"/>
    <w:rsid w:val="00271D4C"/>
    <w:rsid w:val="00272D53"/>
    <w:rsid w:val="0027308F"/>
    <w:rsid w:val="00275947"/>
    <w:rsid w:val="00275D3D"/>
    <w:rsid w:val="00276B03"/>
    <w:rsid w:val="0027750A"/>
    <w:rsid w:val="00280BAF"/>
    <w:rsid w:val="00282E65"/>
    <w:rsid w:val="00283DDB"/>
    <w:rsid w:val="00286173"/>
    <w:rsid w:val="00286541"/>
    <w:rsid w:val="002869DC"/>
    <w:rsid w:val="00286DEC"/>
    <w:rsid w:val="00287704"/>
    <w:rsid w:val="00294152"/>
    <w:rsid w:val="0029430E"/>
    <w:rsid w:val="00294D46"/>
    <w:rsid w:val="0029528D"/>
    <w:rsid w:val="002A409A"/>
    <w:rsid w:val="002A41C3"/>
    <w:rsid w:val="002A4A4D"/>
    <w:rsid w:val="002A7775"/>
    <w:rsid w:val="002A7B24"/>
    <w:rsid w:val="002B0D37"/>
    <w:rsid w:val="002B2155"/>
    <w:rsid w:val="002B28B0"/>
    <w:rsid w:val="002B583C"/>
    <w:rsid w:val="002B689E"/>
    <w:rsid w:val="002B69CC"/>
    <w:rsid w:val="002B7888"/>
    <w:rsid w:val="002C122C"/>
    <w:rsid w:val="002C129E"/>
    <w:rsid w:val="002C1C7F"/>
    <w:rsid w:val="002C3361"/>
    <w:rsid w:val="002C37C4"/>
    <w:rsid w:val="002C4610"/>
    <w:rsid w:val="002C52EA"/>
    <w:rsid w:val="002C5396"/>
    <w:rsid w:val="002C6EEE"/>
    <w:rsid w:val="002C72B2"/>
    <w:rsid w:val="002D0526"/>
    <w:rsid w:val="002D0A7C"/>
    <w:rsid w:val="002D2048"/>
    <w:rsid w:val="002D214D"/>
    <w:rsid w:val="002D3A08"/>
    <w:rsid w:val="002D3CFD"/>
    <w:rsid w:val="002D519D"/>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46FC"/>
    <w:rsid w:val="00315CB8"/>
    <w:rsid w:val="003179ED"/>
    <w:rsid w:val="00320940"/>
    <w:rsid w:val="00322480"/>
    <w:rsid w:val="00324260"/>
    <w:rsid w:val="00324785"/>
    <w:rsid w:val="00324938"/>
    <w:rsid w:val="00325BC3"/>
    <w:rsid w:val="003278FD"/>
    <w:rsid w:val="00330048"/>
    <w:rsid w:val="00332715"/>
    <w:rsid w:val="00332FEB"/>
    <w:rsid w:val="00333AB9"/>
    <w:rsid w:val="003357CA"/>
    <w:rsid w:val="00335C69"/>
    <w:rsid w:val="003432D6"/>
    <w:rsid w:val="003456BD"/>
    <w:rsid w:val="00345C6D"/>
    <w:rsid w:val="0034765C"/>
    <w:rsid w:val="00347E3C"/>
    <w:rsid w:val="003543EA"/>
    <w:rsid w:val="003545B2"/>
    <w:rsid w:val="003547E5"/>
    <w:rsid w:val="0035521E"/>
    <w:rsid w:val="00355320"/>
    <w:rsid w:val="00355C12"/>
    <w:rsid w:val="00356457"/>
    <w:rsid w:val="003569BD"/>
    <w:rsid w:val="00357FC9"/>
    <w:rsid w:val="003605E7"/>
    <w:rsid w:val="0036135D"/>
    <w:rsid w:val="003639FE"/>
    <w:rsid w:val="00365A86"/>
    <w:rsid w:val="00365DE7"/>
    <w:rsid w:val="003668CF"/>
    <w:rsid w:val="0037559F"/>
    <w:rsid w:val="00375B28"/>
    <w:rsid w:val="0037675E"/>
    <w:rsid w:val="00377E94"/>
    <w:rsid w:val="00381090"/>
    <w:rsid w:val="00381CD7"/>
    <w:rsid w:val="00385BC3"/>
    <w:rsid w:val="003864F6"/>
    <w:rsid w:val="00390E31"/>
    <w:rsid w:val="00391737"/>
    <w:rsid w:val="0039225F"/>
    <w:rsid w:val="0039344D"/>
    <w:rsid w:val="00393638"/>
    <w:rsid w:val="00396A04"/>
    <w:rsid w:val="00397570"/>
    <w:rsid w:val="00397D03"/>
    <w:rsid w:val="003A3349"/>
    <w:rsid w:val="003A367D"/>
    <w:rsid w:val="003A6698"/>
    <w:rsid w:val="003A7570"/>
    <w:rsid w:val="003A7CA2"/>
    <w:rsid w:val="003A7CC0"/>
    <w:rsid w:val="003B02B3"/>
    <w:rsid w:val="003B02DE"/>
    <w:rsid w:val="003B08CE"/>
    <w:rsid w:val="003B0C77"/>
    <w:rsid w:val="003B2329"/>
    <w:rsid w:val="003B3A2C"/>
    <w:rsid w:val="003B3F0B"/>
    <w:rsid w:val="003B424D"/>
    <w:rsid w:val="003B48CD"/>
    <w:rsid w:val="003B68CD"/>
    <w:rsid w:val="003B6E10"/>
    <w:rsid w:val="003C1670"/>
    <w:rsid w:val="003C19BF"/>
    <w:rsid w:val="003C4D24"/>
    <w:rsid w:val="003C56CF"/>
    <w:rsid w:val="003C6B82"/>
    <w:rsid w:val="003C6D3A"/>
    <w:rsid w:val="003C7EA7"/>
    <w:rsid w:val="003D092D"/>
    <w:rsid w:val="003D4A34"/>
    <w:rsid w:val="003D6235"/>
    <w:rsid w:val="003E080A"/>
    <w:rsid w:val="003E0917"/>
    <w:rsid w:val="003E358F"/>
    <w:rsid w:val="003E5FF2"/>
    <w:rsid w:val="003F045C"/>
    <w:rsid w:val="003F046A"/>
    <w:rsid w:val="003F10F8"/>
    <w:rsid w:val="003F4EA4"/>
    <w:rsid w:val="003F5C7E"/>
    <w:rsid w:val="003F5CF6"/>
    <w:rsid w:val="003F6ACA"/>
    <w:rsid w:val="003F7AF4"/>
    <w:rsid w:val="0040003B"/>
    <w:rsid w:val="004005AC"/>
    <w:rsid w:val="004007BE"/>
    <w:rsid w:val="00402A15"/>
    <w:rsid w:val="0040434F"/>
    <w:rsid w:val="00405F21"/>
    <w:rsid w:val="00406B07"/>
    <w:rsid w:val="00406FBE"/>
    <w:rsid w:val="0041039C"/>
    <w:rsid w:val="00415877"/>
    <w:rsid w:val="004162F1"/>
    <w:rsid w:val="00417C74"/>
    <w:rsid w:val="00420831"/>
    <w:rsid w:val="0042197D"/>
    <w:rsid w:val="004248D9"/>
    <w:rsid w:val="00425D30"/>
    <w:rsid w:val="00426482"/>
    <w:rsid w:val="004268A6"/>
    <w:rsid w:val="00427CE2"/>
    <w:rsid w:val="00434D7D"/>
    <w:rsid w:val="004353EE"/>
    <w:rsid w:val="00435F83"/>
    <w:rsid w:val="004362A6"/>
    <w:rsid w:val="00440136"/>
    <w:rsid w:val="0044348E"/>
    <w:rsid w:val="004449A8"/>
    <w:rsid w:val="00445A50"/>
    <w:rsid w:val="00446A81"/>
    <w:rsid w:val="00446B21"/>
    <w:rsid w:val="00446C51"/>
    <w:rsid w:val="004472F0"/>
    <w:rsid w:val="004475CF"/>
    <w:rsid w:val="004516D9"/>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673D4"/>
    <w:rsid w:val="00473382"/>
    <w:rsid w:val="00473DA2"/>
    <w:rsid w:val="00475C30"/>
    <w:rsid w:val="0047738F"/>
    <w:rsid w:val="00477DA1"/>
    <w:rsid w:val="004803F0"/>
    <w:rsid w:val="004806BE"/>
    <w:rsid w:val="004816AA"/>
    <w:rsid w:val="00481A82"/>
    <w:rsid w:val="00483181"/>
    <w:rsid w:val="00485520"/>
    <w:rsid w:val="004861D8"/>
    <w:rsid w:val="00486DF5"/>
    <w:rsid w:val="00492D8F"/>
    <w:rsid w:val="00493464"/>
    <w:rsid w:val="004939DF"/>
    <w:rsid w:val="0049586B"/>
    <w:rsid w:val="00495918"/>
    <w:rsid w:val="00495B40"/>
    <w:rsid w:val="004A2289"/>
    <w:rsid w:val="004A26E1"/>
    <w:rsid w:val="004A39EE"/>
    <w:rsid w:val="004A51ED"/>
    <w:rsid w:val="004A6FCC"/>
    <w:rsid w:val="004B00BF"/>
    <w:rsid w:val="004B13DF"/>
    <w:rsid w:val="004B1759"/>
    <w:rsid w:val="004B1ABD"/>
    <w:rsid w:val="004B23FC"/>
    <w:rsid w:val="004B254E"/>
    <w:rsid w:val="004B3248"/>
    <w:rsid w:val="004B3C0A"/>
    <w:rsid w:val="004B3F38"/>
    <w:rsid w:val="004B64A6"/>
    <w:rsid w:val="004B7202"/>
    <w:rsid w:val="004B72CE"/>
    <w:rsid w:val="004B7CAD"/>
    <w:rsid w:val="004C0503"/>
    <w:rsid w:val="004C07F9"/>
    <w:rsid w:val="004C103A"/>
    <w:rsid w:val="004C1092"/>
    <w:rsid w:val="004C1338"/>
    <w:rsid w:val="004C38FE"/>
    <w:rsid w:val="004C63B8"/>
    <w:rsid w:val="004C6559"/>
    <w:rsid w:val="004C7417"/>
    <w:rsid w:val="004D1B68"/>
    <w:rsid w:val="004D1FC0"/>
    <w:rsid w:val="004D210B"/>
    <w:rsid w:val="004D24D3"/>
    <w:rsid w:val="004D279E"/>
    <w:rsid w:val="004D27EE"/>
    <w:rsid w:val="004D5BA3"/>
    <w:rsid w:val="004D6ABC"/>
    <w:rsid w:val="004E1034"/>
    <w:rsid w:val="004E13AF"/>
    <w:rsid w:val="004E29B6"/>
    <w:rsid w:val="004E2CA0"/>
    <w:rsid w:val="004E40FD"/>
    <w:rsid w:val="004E789F"/>
    <w:rsid w:val="004F0E4B"/>
    <w:rsid w:val="004F1FFD"/>
    <w:rsid w:val="004F49AA"/>
    <w:rsid w:val="004F521A"/>
    <w:rsid w:val="004F551E"/>
    <w:rsid w:val="005005B8"/>
    <w:rsid w:val="0050109F"/>
    <w:rsid w:val="00505AF3"/>
    <w:rsid w:val="005066F6"/>
    <w:rsid w:val="005070EC"/>
    <w:rsid w:val="005115CE"/>
    <w:rsid w:val="00515920"/>
    <w:rsid w:val="00515AD8"/>
    <w:rsid w:val="00515DE0"/>
    <w:rsid w:val="00520345"/>
    <w:rsid w:val="00520BE3"/>
    <w:rsid w:val="00522A8B"/>
    <w:rsid w:val="0052442F"/>
    <w:rsid w:val="00524BB2"/>
    <w:rsid w:val="00527866"/>
    <w:rsid w:val="00530AC8"/>
    <w:rsid w:val="0053145E"/>
    <w:rsid w:val="0053190B"/>
    <w:rsid w:val="005338D3"/>
    <w:rsid w:val="00533DD2"/>
    <w:rsid w:val="00533E19"/>
    <w:rsid w:val="0053559E"/>
    <w:rsid w:val="0053566B"/>
    <w:rsid w:val="00540381"/>
    <w:rsid w:val="00542411"/>
    <w:rsid w:val="00543A0A"/>
    <w:rsid w:val="005444AB"/>
    <w:rsid w:val="00546469"/>
    <w:rsid w:val="00546B5F"/>
    <w:rsid w:val="005514F5"/>
    <w:rsid w:val="00552DB6"/>
    <w:rsid w:val="00552EB0"/>
    <w:rsid w:val="00554716"/>
    <w:rsid w:val="00555D3D"/>
    <w:rsid w:val="00561803"/>
    <w:rsid w:val="00562652"/>
    <w:rsid w:val="0056358F"/>
    <w:rsid w:val="005649C0"/>
    <w:rsid w:val="00565752"/>
    <w:rsid w:val="00566969"/>
    <w:rsid w:val="00566EBF"/>
    <w:rsid w:val="00571569"/>
    <w:rsid w:val="00575BCE"/>
    <w:rsid w:val="0057730A"/>
    <w:rsid w:val="0057761C"/>
    <w:rsid w:val="00577623"/>
    <w:rsid w:val="0058155C"/>
    <w:rsid w:val="00582047"/>
    <w:rsid w:val="00583D6C"/>
    <w:rsid w:val="00584568"/>
    <w:rsid w:val="00584BC8"/>
    <w:rsid w:val="00586890"/>
    <w:rsid w:val="00591469"/>
    <w:rsid w:val="00595C2D"/>
    <w:rsid w:val="005966F6"/>
    <w:rsid w:val="0059789A"/>
    <w:rsid w:val="00597910"/>
    <w:rsid w:val="005A133E"/>
    <w:rsid w:val="005A13C5"/>
    <w:rsid w:val="005A1D6C"/>
    <w:rsid w:val="005A2F37"/>
    <w:rsid w:val="005A2FF2"/>
    <w:rsid w:val="005A47ED"/>
    <w:rsid w:val="005A506E"/>
    <w:rsid w:val="005A5A3E"/>
    <w:rsid w:val="005A5D29"/>
    <w:rsid w:val="005A6434"/>
    <w:rsid w:val="005A7989"/>
    <w:rsid w:val="005B02AB"/>
    <w:rsid w:val="005B17BE"/>
    <w:rsid w:val="005B18ED"/>
    <w:rsid w:val="005B31F7"/>
    <w:rsid w:val="005B3992"/>
    <w:rsid w:val="005B58FF"/>
    <w:rsid w:val="005B68C3"/>
    <w:rsid w:val="005B716F"/>
    <w:rsid w:val="005C204E"/>
    <w:rsid w:val="005C22D6"/>
    <w:rsid w:val="005C2F53"/>
    <w:rsid w:val="005C3C8B"/>
    <w:rsid w:val="005C5DD4"/>
    <w:rsid w:val="005C78C3"/>
    <w:rsid w:val="005C7C33"/>
    <w:rsid w:val="005D0029"/>
    <w:rsid w:val="005D05C7"/>
    <w:rsid w:val="005D2128"/>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A79"/>
    <w:rsid w:val="005F3CF4"/>
    <w:rsid w:val="005F6E40"/>
    <w:rsid w:val="00601913"/>
    <w:rsid w:val="0060421A"/>
    <w:rsid w:val="00611340"/>
    <w:rsid w:val="00611644"/>
    <w:rsid w:val="0061330D"/>
    <w:rsid w:val="00615481"/>
    <w:rsid w:val="00615AA1"/>
    <w:rsid w:val="00615FE9"/>
    <w:rsid w:val="006174FC"/>
    <w:rsid w:val="0062007D"/>
    <w:rsid w:val="006234A3"/>
    <w:rsid w:val="00623B34"/>
    <w:rsid w:val="00624E3D"/>
    <w:rsid w:val="006259CC"/>
    <w:rsid w:val="006308CD"/>
    <w:rsid w:val="006314DE"/>
    <w:rsid w:val="00634816"/>
    <w:rsid w:val="00634CC1"/>
    <w:rsid w:val="00635197"/>
    <w:rsid w:val="0063636E"/>
    <w:rsid w:val="006363AA"/>
    <w:rsid w:val="00637308"/>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2918"/>
    <w:rsid w:val="00652E1B"/>
    <w:rsid w:val="00652E45"/>
    <w:rsid w:val="00653F32"/>
    <w:rsid w:val="00654CBA"/>
    <w:rsid w:val="006556FA"/>
    <w:rsid w:val="00655A72"/>
    <w:rsid w:val="00656BD4"/>
    <w:rsid w:val="00657250"/>
    <w:rsid w:val="006600DC"/>
    <w:rsid w:val="00660605"/>
    <w:rsid w:val="006622B7"/>
    <w:rsid w:val="00662E0D"/>
    <w:rsid w:val="0066340E"/>
    <w:rsid w:val="0066383C"/>
    <w:rsid w:val="0066428B"/>
    <w:rsid w:val="00664C4E"/>
    <w:rsid w:val="00665BFE"/>
    <w:rsid w:val="006673E2"/>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BF"/>
    <w:rsid w:val="006803EA"/>
    <w:rsid w:val="006813E4"/>
    <w:rsid w:val="00683D39"/>
    <w:rsid w:val="0068728D"/>
    <w:rsid w:val="00687A8C"/>
    <w:rsid w:val="00693450"/>
    <w:rsid w:val="00695912"/>
    <w:rsid w:val="00696435"/>
    <w:rsid w:val="006964C3"/>
    <w:rsid w:val="00697C9C"/>
    <w:rsid w:val="006A05D1"/>
    <w:rsid w:val="006A3B8A"/>
    <w:rsid w:val="006A53C9"/>
    <w:rsid w:val="006A6B1B"/>
    <w:rsid w:val="006B0230"/>
    <w:rsid w:val="006B075E"/>
    <w:rsid w:val="006B0F3D"/>
    <w:rsid w:val="006B135C"/>
    <w:rsid w:val="006B1820"/>
    <w:rsid w:val="006B362B"/>
    <w:rsid w:val="006C1EBB"/>
    <w:rsid w:val="006C3986"/>
    <w:rsid w:val="006C4F78"/>
    <w:rsid w:val="006C63AE"/>
    <w:rsid w:val="006C63C2"/>
    <w:rsid w:val="006C711B"/>
    <w:rsid w:val="006D07D6"/>
    <w:rsid w:val="006D09F8"/>
    <w:rsid w:val="006D2138"/>
    <w:rsid w:val="006D37D0"/>
    <w:rsid w:val="006D3BC5"/>
    <w:rsid w:val="006D46B5"/>
    <w:rsid w:val="006D52AD"/>
    <w:rsid w:val="006D650D"/>
    <w:rsid w:val="006E1DDD"/>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385F"/>
    <w:rsid w:val="007050B8"/>
    <w:rsid w:val="00705F15"/>
    <w:rsid w:val="00707949"/>
    <w:rsid w:val="007118D7"/>
    <w:rsid w:val="00712405"/>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3C32"/>
    <w:rsid w:val="00735154"/>
    <w:rsid w:val="007359E9"/>
    <w:rsid w:val="00736318"/>
    <w:rsid w:val="00741A8A"/>
    <w:rsid w:val="00741AA7"/>
    <w:rsid w:val="00741C1A"/>
    <w:rsid w:val="00742BEF"/>
    <w:rsid w:val="0074315A"/>
    <w:rsid w:val="007458BC"/>
    <w:rsid w:val="00745F02"/>
    <w:rsid w:val="00746366"/>
    <w:rsid w:val="007470F1"/>
    <w:rsid w:val="007478F2"/>
    <w:rsid w:val="00752B06"/>
    <w:rsid w:val="00755E1F"/>
    <w:rsid w:val="00757C45"/>
    <w:rsid w:val="00757DD1"/>
    <w:rsid w:val="00757F29"/>
    <w:rsid w:val="007600AE"/>
    <w:rsid w:val="00760C9F"/>
    <w:rsid w:val="00761703"/>
    <w:rsid w:val="0076289B"/>
    <w:rsid w:val="00763CC1"/>
    <w:rsid w:val="007640CC"/>
    <w:rsid w:val="007642C7"/>
    <w:rsid w:val="00764804"/>
    <w:rsid w:val="007678A9"/>
    <w:rsid w:val="00770E01"/>
    <w:rsid w:val="00771F93"/>
    <w:rsid w:val="00774611"/>
    <w:rsid w:val="0077582F"/>
    <w:rsid w:val="00775875"/>
    <w:rsid w:val="0078437B"/>
    <w:rsid w:val="00784848"/>
    <w:rsid w:val="00784A78"/>
    <w:rsid w:val="00784C56"/>
    <w:rsid w:val="00785492"/>
    <w:rsid w:val="00786699"/>
    <w:rsid w:val="007872E4"/>
    <w:rsid w:val="00787457"/>
    <w:rsid w:val="00787A65"/>
    <w:rsid w:val="007912A9"/>
    <w:rsid w:val="007928CE"/>
    <w:rsid w:val="00793B14"/>
    <w:rsid w:val="007949E0"/>
    <w:rsid w:val="00794CB0"/>
    <w:rsid w:val="00795327"/>
    <w:rsid w:val="00795ECB"/>
    <w:rsid w:val="00796E25"/>
    <w:rsid w:val="00797A35"/>
    <w:rsid w:val="007A092D"/>
    <w:rsid w:val="007A20E4"/>
    <w:rsid w:val="007A28A7"/>
    <w:rsid w:val="007A294C"/>
    <w:rsid w:val="007A355E"/>
    <w:rsid w:val="007A4087"/>
    <w:rsid w:val="007A506B"/>
    <w:rsid w:val="007A5914"/>
    <w:rsid w:val="007A5DF7"/>
    <w:rsid w:val="007B37F8"/>
    <w:rsid w:val="007B47E1"/>
    <w:rsid w:val="007B5C1D"/>
    <w:rsid w:val="007B66A7"/>
    <w:rsid w:val="007C0857"/>
    <w:rsid w:val="007C16BF"/>
    <w:rsid w:val="007C358C"/>
    <w:rsid w:val="007C3CB1"/>
    <w:rsid w:val="007C7C6E"/>
    <w:rsid w:val="007C7EC0"/>
    <w:rsid w:val="007D1532"/>
    <w:rsid w:val="007D26F6"/>
    <w:rsid w:val="007D383B"/>
    <w:rsid w:val="007D59C7"/>
    <w:rsid w:val="007D5B0F"/>
    <w:rsid w:val="007D6BE6"/>
    <w:rsid w:val="007D6C54"/>
    <w:rsid w:val="007E02DA"/>
    <w:rsid w:val="007E22CA"/>
    <w:rsid w:val="007E2B3E"/>
    <w:rsid w:val="007E2F46"/>
    <w:rsid w:val="007E315C"/>
    <w:rsid w:val="007E5F89"/>
    <w:rsid w:val="007E6D8E"/>
    <w:rsid w:val="007E7000"/>
    <w:rsid w:val="007F14F5"/>
    <w:rsid w:val="007F7226"/>
    <w:rsid w:val="00800EC1"/>
    <w:rsid w:val="0080159B"/>
    <w:rsid w:val="008041B9"/>
    <w:rsid w:val="008042E9"/>
    <w:rsid w:val="0080435E"/>
    <w:rsid w:val="00805594"/>
    <w:rsid w:val="00806A0E"/>
    <w:rsid w:val="00810336"/>
    <w:rsid w:val="00812F1A"/>
    <w:rsid w:val="00813EDE"/>
    <w:rsid w:val="008147DC"/>
    <w:rsid w:val="00816500"/>
    <w:rsid w:val="00820027"/>
    <w:rsid w:val="00820EC8"/>
    <w:rsid w:val="00821135"/>
    <w:rsid w:val="00821A2E"/>
    <w:rsid w:val="00821E21"/>
    <w:rsid w:val="00822951"/>
    <w:rsid w:val="00823B75"/>
    <w:rsid w:val="00823B92"/>
    <w:rsid w:val="00824F0E"/>
    <w:rsid w:val="008259E4"/>
    <w:rsid w:val="008264C1"/>
    <w:rsid w:val="00826EED"/>
    <w:rsid w:val="00830CBA"/>
    <w:rsid w:val="00831008"/>
    <w:rsid w:val="008311B3"/>
    <w:rsid w:val="00833990"/>
    <w:rsid w:val="008339F9"/>
    <w:rsid w:val="00833F5C"/>
    <w:rsid w:val="00834D8E"/>
    <w:rsid w:val="00836E89"/>
    <w:rsid w:val="00837BAB"/>
    <w:rsid w:val="008426DE"/>
    <w:rsid w:val="00842DDA"/>
    <w:rsid w:val="00843606"/>
    <w:rsid w:val="008438F3"/>
    <w:rsid w:val="00843E24"/>
    <w:rsid w:val="008441CD"/>
    <w:rsid w:val="0084634B"/>
    <w:rsid w:val="0084657A"/>
    <w:rsid w:val="00847EA6"/>
    <w:rsid w:val="00850946"/>
    <w:rsid w:val="00852C27"/>
    <w:rsid w:val="008532C2"/>
    <w:rsid w:val="00857F6E"/>
    <w:rsid w:val="00861374"/>
    <w:rsid w:val="008619CE"/>
    <w:rsid w:val="00862B66"/>
    <w:rsid w:val="008703CE"/>
    <w:rsid w:val="008705E3"/>
    <w:rsid w:val="00870635"/>
    <w:rsid w:val="0087248D"/>
    <w:rsid w:val="00873608"/>
    <w:rsid w:val="00873E3D"/>
    <w:rsid w:val="008752C0"/>
    <w:rsid w:val="00875BCB"/>
    <w:rsid w:val="00876521"/>
    <w:rsid w:val="00880D07"/>
    <w:rsid w:val="00881537"/>
    <w:rsid w:val="0088277B"/>
    <w:rsid w:val="00883375"/>
    <w:rsid w:val="008838DB"/>
    <w:rsid w:val="00884CD4"/>
    <w:rsid w:val="0088623E"/>
    <w:rsid w:val="00890228"/>
    <w:rsid w:val="0089074E"/>
    <w:rsid w:val="008909E5"/>
    <w:rsid w:val="00890D08"/>
    <w:rsid w:val="00894A0A"/>
    <w:rsid w:val="00894B05"/>
    <w:rsid w:val="008955BC"/>
    <w:rsid w:val="008965DD"/>
    <w:rsid w:val="008975E9"/>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67F8"/>
    <w:rsid w:val="008B707D"/>
    <w:rsid w:val="008B7A75"/>
    <w:rsid w:val="008C1811"/>
    <w:rsid w:val="008C2535"/>
    <w:rsid w:val="008C2751"/>
    <w:rsid w:val="008C471E"/>
    <w:rsid w:val="008C6322"/>
    <w:rsid w:val="008C7047"/>
    <w:rsid w:val="008D050C"/>
    <w:rsid w:val="008D0751"/>
    <w:rsid w:val="008D3085"/>
    <w:rsid w:val="008D498E"/>
    <w:rsid w:val="008D4B12"/>
    <w:rsid w:val="008E14AF"/>
    <w:rsid w:val="008E1534"/>
    <w:rsid w:val="008E36CD"/>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37E3"/>
    <w:rsid w:val="008F41E3"/>
    <w:rsid w:val="008F4914"/>
    <w:rsid w:val="008F6907"/>
    <w:rsid w:val="008F7D4B"/>
    <w:rsid w:val="009009A6"/>
    <w:rsid w:val="00901A7B"/>
    <w:rsid w:val="0090277D"/>
    <w:rsid w:val="009032D2"/>
    <w:rsid w:val="0090418B"/>
    <w:rsid w:val="00905E05"/>
    <w:rsid w:val="009064F7"/>
    <w:rsid w:val="009079AE"/>
    <w:rsid w:val="00907A27"/>
    <w:rsid w:val="00907A95"/>
    <w:rsid w:val="00907AEA"/>
    <w:rsid w:val="00910134"/>
    <w:rsid w:val="00911BC0"/>
    <w:rsid w:val="00913BCF"/>
    <w:rsid w:val="0091403A"/>
    <w:rsid w:val="00915DA8"/>
    <w:rsid w:val="00915FEF"/>
    <w:rsid w:val="00916869"/>
    <w:rsid w:val="00916B41"/>
    <w:rsid w:val="00916F41"/>
    <w:rsid w:val="009176B0"/>
    <w:rsid w:val="0092117E"/>
    <w:rsid w:val="00922398"/>
    <w:rsid w:val="00923B3E"/>
    <w:rsid w:val="009240BF"/>
    <w:rsid w:val="0092665F"/>
    <w:rsid w:val="00926ABC"/>
    <w:rsid w:val="009276B0"/>
    <w:rsid w:val="00930C34"/>
    <w:rsid w:val="00931AF0"/>
    <w:rsid w:val="009359F1"/>
    <w:rsid w:val="00935C77"/>
    <w:rsid w:val="00935D53"/>
    <w:rsid w:val="009366E2"/>
    <w:rsid w:val="00936CC4"/>
    <w:rsid w:val="00937743"/>
    <w:rsid w:val="009377E2"/>
    <w:rsid w:val="0094007B"/>
    <w:rsid w:val="009404CF"/>
    <w:rsid w:val="00940B85"/>
    <w:rsid w:val="00944ABA"/>
    <w:rsid w:val="00947EA6"/>
    <w:rsid w:val="00953180"/>
    <w:rsid w:val="00954311"/>
    <w:rsid w:val="0095587D"/>
    <w:rsid w:val="00956192"/>
    <w:rsid w:val="009561EC"/>
    <w:rsid w:val="00957495"/>
    <w:rsid w:val="0096111A"/>
    <w:rsid w:val="00965DE3"/>
    <w:rsid w:val="0096680B"/>
    <w:rsid w:val="0096697E"/>
    <w:rsid w:val="00966D02"/>
    <w:rsid w:val="009678EA"/>
    <w:rsid w:val="00972192"/>
    <w:rsid w:val="00973701"/>
    <w:rsid w:val="00973B5C"/>
    <w:rsid w:val="00973DEE"/>
    <w:rsid w:val="00975D7D"/>
    <w:rsid w:val="00976515"/>
    <w:rsid w:val="00977055"/>
    <w:rsid w:val="00980148"/>
    <w:rsid w:val="00980800"/>
    <w:rsid w:val="009817E8"/>
    <w:rsid w:val="00981B6F"/>
    <w:rsid w:val="00981C86"/>
    <w:rsid w:val="00982B95"/>
    <w:rsid w:val="009833F1"/>
    <w:rsid w:val="00983417"/>
    <w:rsid w:val="00983CAC"/>
    <w:rsid w:val="00985AB5"/>
    <w:rsid w:val="00987A22"/>
    <w:rsid w:val="00990092"/>
    <w:rsid w:val="00990429"/>
    <w:rsid w:val="0099350E"/>
    <w:rsid w:val="00996E8E"/>
    <w:rsid w:val="009A06A1"/>
    <w:rsid w:val="009A072C"/>
    <w:rsid w:val="009A20EB"/>
    <w:rsid w:val="009A660B"/>
    <w:rsid w:val="009A665B"/>
    <w:rsid w:val="009A6CC6"/>
    <w:rsid w:val="009A76F9"/>
    <w:rsid w:val="009A7713"/>
    <w:rsid w:val="009B23EA"/>
    <w:rsid w:val="009B3290"/>
    <w:rsid w:val="009B381E"/>
    <w:rsid w:val="009B4A6C"/>
    <w:rsid w:val="009B71DC"/>
    <w:rsid w:val="009C238D"/>
    <w:rsid w:val="009C25D9"/>
    <w:rsid w:val="009C2752"/>
    <w:rsid w:val="009C2B24"/>
    <w:rsid w:val="009C2D1E"/>
    <w:rsid w:val="009C44A4"/>
    <w:rsid w:val="009C5EAE"/>
    <w:rsid w:val="009C6624"/>
    <w:rsid w:val="009C7327"/>
    <w:rsid w:val="009D1BA6"/>
    <w:rsid w:val="009D1D34"/>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799C"/>
    <w:rsid w:val="00A00346"/>
    <w:rsid w:val="00A02806"/>
    <w:rsid w:val="00A03731"/>
    <w:rsid w:val="00A0637C"/>
    <w:rsid w:val="00A07A20"/>
    <w:rsid w:val="00A112E7"/>
    <w:rsid w:val="00A17529"/>
    <w:rsid w:val="00A17682"/>
    <w:rsid w:val="00A20532"/>
    <w:rsid w:val="00A20814"/>
    <w:rsid w:val="00A20D72"/>
    <w:rsid w:val="00A225D0"/>
    <w:rsid w:val="00A24686"/>
    <w:rsid w:val="00A25593"/>
    <w:rsid w:val="00A27068"/>
    <w:rsid w:val="00A2708A"/>
    <w:rsid w:val="00A33926"/>
    <w:rsid w:val="00A34796"/>
    <w:rsid w:val="00A35590"/>
    <w:rsid w:val="00A401BA"/>
    <w:rsid w:val="00A4290C"/>
    <w:rsid w:val="00A42D45"/>
    <w:rsid w:val="00A44D23"/>
    <w:rsid w:val="00A503B1"/>
    <w:rsid w:val="00A52229"/>
    <w:rsid w:val="00A54F6C"/>
    <w:rsid w:val="00A56581"/>
    <w:rsid w:val="00A56AF1"/>
    <w:rsid w:val="00A60FAE"/>
    <w:rsid w:val="00A61B9E"/>
    <w:rsid w:val="00A63839"/>
    <w:rsid w:val="00A6445C"/>
    <w:rsid w:val="00A64775"/>
    <w:rsid w:val="00A6751F"/>
    <w:rsid w:val="00A70147"/>
    <w:rsid w:val="00A73ACA"/>
    <w:rsid w:val="00A749BF"/>
    <w:rsid w:val="00A74CC6"/>
    <w:rsid w:val="00A75729"/>
    <w:rsid w:val="00A76B01"/>
    <w:rsid w:val="00A76DC3"/>
    <w:rsid w:val="00A77929"/>
    <w:rsid w:val="00A80E81"/>
    <w:rsid w:val="00A822B2"/>
    <w:rsid w:val="00A82648"/>
    <w:rsid w:val="00A82B71"/>
    <w:rsid w:val="00A83729"/>
    <w:rsid w:val="00A85D7B"/>
    <w:rsid w:val="00A87739"/>
    <w:rsid w:val="00A90503"/>
    <w:rsid w:val="00A93216"/>
    <w:rsid w:val="00A93B49"/>
    <w:rsid w:val="00A93F34"/>
    <w:rsid w:val="00A94B13"/>
    <w:rsid w:val="00A96C0B"/>
    <w:rsid w:val="00A96D1B"/>
    <w:rsid w:val="00A971B2"/>
    <w:rsid w:val="00A97519"/>
    <w:rsid w:val="00A979ED"/>
    <w:rsid w:val="00AA0BC7"/>
    <w:rsid w:val="00AA203D"/>
    <w:rsid w:val="00AA279E"/>
    <w:rsid w:val="00AA2D93"/>
    <w:rsid w:val="00AA537E"/>
    <w:rsid w:val="00AA59A0"/>
    <w:rsid w:val="00AA6FD4"/>
    <w:rsid w:val="00AB0812"/>
    <w:rsid w:val="00AB2920"/>
    <w:rsid w:val="00AB385C"/>
    <w:rsid w:val="00AC0A94"/>
    <w:rsid w:val="00AC1A4B"/>
    <w:rsid w:val="00AC1BF1"/>
    <w:rsid w:val="00AC3642"/>
    <w:rsid w:val="00AD0126"/>
    <w:rsid w:val="00AD01C2"/>
    <w:rsid w:val="00AD058C"/>
    <w:rsid w:val="00AD0FCB"/>
    <w:rsid w:val="00AD159C"/>
    <w:rsid w:val="00AD320D"/>
    <w:rsid w:val="00AD4DD2"/>
    <w:rsid w:val="00AE1333"/>
    <w:rsid w:val="00AE155C"/>
    <w:rsid w:val="00AE6FA7"/>
    <w:rsid w:val="00AE7035"/>
    <w:rsid w:val="00AE7757"/>
    <w:rsid w:val="00AF060E"/>
    <w:rsid w:val="00AF2D42"/>
    <w:rsid w:val="00AF38FD"/>
    <w:rsid w:val="00AF569A"/>
    <w:rsid w:val="00AF572D"/>
    <w:rsid w:val="00AF5EEF"/>
    <w:rsid w:val="00AF79CB"/>
    <w:rsid w:val="00AF7F1E"/>
    <w:rsid w:val="00B012CD"/>
    <w:rsid w:val="00B01639"/>
    <w:rsid w:val="00B03B71"/>
    <w:rsid w:val="00B04258"/>
    <w:rsid w:val="00B07D81"/>
    <w:rsid w:val="00B15C71"/>
    <w:rsid w:val="00B15F57"/>
    <w:rsid w:val="00B166B5"/>
    <w:rsid w:val="00B174D2"/>
    <w:rsid w:val="00B2041F"/>
    <w:rsid w:val="00B216CF"/>
    <w:rsid w:val="00B21946"/>
    <w:rsid w:val="00B246B4"/>
    <w:rsid w:val="00B26011"/>
    <w:rsid w:val="00B262C8"/>
    <w:rsid w:val="00B26DB6"/>
    <w:rsid w:val="00B26FE9"/>
    <w:rsid w:val="00B3015E"/>
    <w:rsid w:val="00B30D09"/>
    <w:rsid w:val="00B34382"/>
    <w:rsid w:val="00B34C51"/>
    <w:rsid w:val="00B3525C"/>
    <w:rsid w:val="00B36020"/>
    <w:rsid w:val="00B3735E"/>
    <w:rsid w:val="00B41404"/>
    <w:rsid w:val="00B41EA1"/>
    <w:rsid w:val="00B42A83"/>
    <w:rsid w:val="00B44A1A"/>
    <w:rsid w:val="00B452A3"/>
    <w:rsid w:val="00B4537B"/>
    <w:rsid w:val="00B505F9"/>
    <w:rsid w:val="00B50E2D"/>
    <w:rsid w:val="00B510BF"/>
    <w:rsid w:val="00B523ED"/>
    <w:rsid w:val="00B5244A"/>
    <w:rsid w:val="00B531AB"/>
    <w:rsid w:val="00B53C34"/>
    <w:rsid w:val="00B642BF"/>
    <w:rsid w:val="00B651E4"/>
    <w:rsid w:val="00B65791"/>
    <w:rsid w:val="00B66883"/>
    <w:rsid w:val="00B66A36"/>
    <w:rsid w:val="00B72438"/>
    <w:rsid w:val="00B72BAB"/>
    <w:rsid w:val="00B737E6"/>
    <w:rsid w:val="00B74559"/>
    <w:rsid w:val="00B76557"/>
    <w:rsid w:val="00B85489"/>
    <w:rsid w:val="00B87179"/>
    <w:rsid w:val="00B87264"/>
    <w:rsid w:val="00B9048A"/>
    <w:rsid w:val="00B906E1"/>
    <w:rsid w:val="00B93B50"/>
    <w:rsid w:val="00B951FF"/>
    <w:rsid w:val="00BA000A"/>
    <w:rsid w:val="00BA0F40"/>
    <w:rsid w:val="00BA118B"/>
    <w:rsid w:val="00BA328B"/>
    <w:rsid w:val="00BA3D5F"/>
    <w:rsid w:val="00BA47F0"/>
    <w:rsid w:val="00BA4E0F"/>
    <w:rsid w:val="00BA6496"/>
    <w:rsid w:val="00BB070D"/>
    <w:rsid w:val="00BB0782"/>
    <w:rsid w:val="00BB0DE5"/>
    <w:rsid w:val="00BB1C7E"/>
    <w:rsid w:val="00BB2E04"/>
    <w:rsid w:val="00BB3000"/>
    <w:rsid w:val="00BB34E3"/>
    <w:rsid w:val="00BB4A28"/>
    <w:rsid w:val="00BB5721"/>
    <w:rsid w:val="00BB69DB"/>
    <w:rsid w:val="00BB6F82"/>
    <w:rsid w:val="00BC2BA2"/>
    <w:rsid w:val="00BC2ED4"/>
    <w:rsid w:val="00BC36B3"/>
    <w:rsid w:val="00BC6BCA"/>
    <w:rsid w:val="00BD0693"/>
    <w:rsid w:val="00BD08E5"/>
    <w:rsid w:val="00BD0CA8"/>
    <w:rsid w:val="00BD0CCE"/>
    <w:rsid w:val="00BD0F2D"/>
    <w:rsid w:val="00BD1014"/>
    <w:rsid w:val="00BD396E"/>
    <w:rsid w:val="00BD4914"/>
    <w:rsid w:val="00BD55B7"/>
    <w:rsid w:val="00BD59C6"/>
    <w:rsid w:val="00BD659A"/>
    <w:rsid w:val="00BD7AF5"/>
    <w:rsid w:val="00BD7F12"/>
    <w:rsid w:val="00BE0572"/>
    <w:rsid w:val="00BE0F0E"/>
    <w:rsid w:val="00BE20C3"/>
    <w:rsid w:val="00BE2331"/>
    <w:rsid w:val="00BE470D"/>
    <w:rsid w:val="00BE4A53"/>
    <w:rsid w:val="00BE7875"/>
    <w:rsid w:val="00BF0642"/>
    <w:rsid w:val="00BF1223"/>
    <w:rsid w:val="00BF21B1"/>
    <w:rsid w:val="00BF23D8"/>
    <w:rsid w:val="00BF29AC"/>
    <w:rsid w:val="00BF4912"/>
    <w:rsid w:val="00BF4B8F"/>
    <w:rsid w:val="00BF565C"/>
    <w:rsid w:val="00C000FD"/>
    <w:rsid w:val="00C005BC"/>
    <w:rsid w:val="00C01765"/>
    <w:rsid w:val="00C01DF1"/>
    <w:rsid w:val="00C025B8"/>
    <w:rsid w:val="00C04D83"/>
    <w:rsid w:val="00C0790A"/>
    <w:rsid w:val="00C1070D"/>
    <w:rsid w:val="00C10B3B"/>
    <w:rsid w:val="00C11ECE"/>
    <w:rsid w:val="00C129DE"/>
    <w:rsid w:val="00C150BB"/>
    <w:rsid w:val="00C16B79"/>
    <w:rsid w:val="00C2099E"/>
    <w:rsid w:val="00C224C0"/>
    <w:rsid w:val="00C22816"/>
    <w:rsid w:val="00C23CF0"/>
    <w:rsid w:val="00C249F4"/>
    <w:rsid w:val="00C27E43"/>
    <w:rsid w:val="00C31272"/>
    <w:rsid w:val="00C31BB5"/>
    <w:rsid w:val="00C33D25"/>
    <w:rsid w:val="00C34562"/>
    <w:rsid w:val="00C369F9"/>
    <w:rsid w:val="00C46511"/>
    <w:rsid w:val="00C47AA5"/>
    <w:rsid w:val="00C50321"/>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715BD"/>
    <w:rsid w:val="00C7228F"/>
    <w:rsid w:val="00C76128"/>
    <w:rsid w:val="00C82776"/>
    <w:rsid w:val="00C8303E"/>
    <w:rsid w:val="00C83C7F"/>
    <w:rsid w:val="00C84D78"/>
    <w:rsid w:val="00C84EC9"/>
    <w:rsid w:val="00C85731"/>
    <w:rsid w:val="00C8685C"/>
    <w:rsid w:val="00C87826"/>
    <w:rsid w:val="00C900B9"/>
    <w:rsid w:val="00C9066A"/>
    <w:rsid w:val="00C90AE0"/>
    <w:rsid w:val="00C91C9A"/>
    <w:rsid w:val="00C926AE"/>
    <w:rsid w:val="00C9400D"/>
    <w:rsid w:val="00C9595A"/>
    <w:rsid w:val="00C96081"/>
    <w:rsid w:val="00C96904"/>
    <w:rsid w:val="00CA0FE5"/>
    <w:rsid w:val="00CA1B3B"/>
    <w:rsid w:val="00CA560E"/>
    <w:rsid w:val="00CA5CC9"/>
    <w:rsid w:val="00CA723F"/>
    <w:rsid w:val="00CB09CE"/>
    <w:rsid w:val="00CB1B1A"/>
    <w:rsid w:val="00CB2A6E"/>
    <w:rsid w:val="00CB449E"/>
    <w:rsid w:val="00CB6C17"/>
    <w:rsid w:val="00CB7304"/>
    <w:rsid w:val="00CB78C4"/>
    <w:rsid w:val="00CC0897"/>
    <w:rsid w:val="00CC1CB4"/>
    <w:rsid w:val="00CC3478"/>
    <w:rsid w:val="00CC3C26"/>
    <w:rsid w:val="00CC5904"/>
    <w:rsid w:val="00CC7D0A"/>
    <w:rsid w:val="00CD02AB"/>
    <w:rsid w:val="00CD13F8"/>
    <w:rsid w:val="00CD28D5"/>
    <w:rsid w:val="00CD2EA0"/>
    <w:rsid w:val="00CD330F"/>
    <w:rsid w:val="00CD4123"/>
    <w:rsid w:val="00CD6788"/>
    <w:rsid w:val="00CD681E"/>
    <w:rsid w:val="00CE11F6"/>
    <w:rsid w:val="00CE2716"/>
    <w:rsid w:val="00CE2DFA"/>
    <w:rsid w:val="00CE2F2A"/>
    <w:rsid w:val="00CE461E"/>
    <w:rsid w:val="00CE699E"/>
    <w:rsid w:val="00CE7241"/>
    <w:rsid w:val="00CE7B3A"/>
    <w:rsid w:val="00CF00D7"/>
    <w:rsid w:val="00CF01F6"/>
    <w:rsid w:val="00CF2C6A"/>
    <w:rsid w:val="00CF5CDF"/>
    <w:rsid w:val="00CF6DC4"/>
    <w:rsid w:val="00CF76B3"/>
    <w:rsid w:val="00CF77BF"/>
    <w:rsid w:val="00CF7D07"/>
    <w:rsid w:val="00D00B57"/>
    <w:rsid w:val="00D00BE7"/>
    <w:rsid w:val="00D00E94"/>
    <w:rsid w:val="00D03109"/>
    <w:rsid w:val="00D03A53"/>
    <w:rsid w:val="00D04219"/>
    <w:rsid w:val="00D042B9"/>
    <w:rsid w:val="00D075C8"/>
    <w:rsid w:val="00D100AF"/>
    <w:rsid w:val="00D100F6"/>
    <w:rsid w:val="00D11A4B"/>
    <w:rsid w:val="00D14823"/>
    <w:rsid w:val="00D17BFC"/>
    <w:rsid w:val="00D21F05"/>
    <w:rsid w:val="00D240F7"/>
    <w:rsid w:val="00D24521"/>
    <w:rsid w:val="00D250E4"/>
    <w:rsid w:val="00D270E9"/>
    <w:rsid w:val="00D27C6F"/>
    <w:rsid w:val="00D30B66"/>
    <w:rsid w:val="00D31842"/>
    <w:rsid w:val="00D31C14"/>
    <w:rsid w:val="00D35098"/>
    <w:rsid w:val="00D36E70"/>
    <w:rsid w:val="00D36F00"/>
    <w:rsid w:val="00D40A25"/>
    <w:rsid w:val="00D42F42"/>
    <w:rsid w:val="00D43767"/>
    <w:rsid w:val="00D4461C"/>
    <w:rsid w:val="00D478F6"/>
    <w:rsid w:val="00D501A1"/>
    <w:rsid w:val="00D52251"/>
    <w:rsid w:val="00D60512"/>
    <w:rsid w:val="00D60B36"/>
    <w:rsid w:val="00D61D54"/>
    <w:rsid w:val="00D62B5E"/>
    <w:rsid w:val="00D63CCB"/>
    <w:rsid w:val="00D65446"/>
    <w:rsid w:val="00D65E59"/>
    <w:rsid w:val="00D67480"/>
    <w:rsid w:val="00D7055A"/>
    <w:rsid w:val="00D70A75"/>
    <w:rsid w:val="00D72A31"/>
    <w:rsid w:val="00D73D1F"/>
    <w:rsid w:val="00D7465B"/>
    <w:rsid w:val="00D8203D"/>
    <w:rsid w:val="00D855E8"/>
    <w:rsid w:val="00D85741"/>
    <w:rsid w:val="00D903E2"/>
    <w:rsid w:val="00D9055C"/>
    <w:rsid w:val="00D90A45"/>
    <w:rsid w:val="00D90C50"/>
    <w:rsid w:val="00D92F9F"/>
    <w:rsid w:val="00D93260"/>
    <w:rsid w:val="00D934F0"/>
    <w:rsid w:val="00D94754"/>
    <w:rsid w:val="00D94C5D"/>
    <w:rsid w:val="00D95E2C"/>
    <w:rsid w:val="00D977EB"/>
    <w:rsid w:val="00DA0958"/>
    <w:rsid w:val="00DA3DF4"/>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023B"/>
    <w:rsid w:val="00DC129D"/>
    <w:rsid w:val="00DC2152"/>
    <w:rsid w:val="00DC6060"/>
    <w:rsid w:val="00DC60E2"/>
    <w:rsid w:val="00DC611C"/>
    <w:rsid w:val="00DC63D7"/>
    <w:rsid w:val="00DC663A"/>
    <w:rsid w:val="00DC7E22"/>
    <w:rsid w:val="00DD0632"/>
    <w:rsid w:val="00DD2A09"/>
    <w:rsid w:val="00DD31EE"/>
    <w:rsid w:val="00DD3713"/>
    <w:rsid w:val="00DD3B2B"/>
    <w:rsid w:val="00DD3CB9"/>
    <w:rsid w:val="00DD55D5"/>
    <w:rsid w:val="00DD590B"/>
    <w:rsid w:val="00DD6D36"/>
    <w:rsid w:val="00DD752E"/>
    <w:rsid w:val="00DE12BA"/>
    <w:rsid w:val="00DE2051"/>
    <w:rsid w:val="00DE7345"/>
    <w:rsid w:val="00DF043F"/>
    <w:rsid w:val="00DF253B"/>
    <w:rsid w:val="00DF278B"/>
    <w:rsid w:val="00DF3D29"/>
    <w:rsid w:val="00DF6EFD"/>
    <w:rsid w:val="00DF742C"/>
    <w:rsid w:val="00DF7938"/>
    <w:rsid w:val="00E00075"/>
    <w:rsid w:val="00E000E2"/>
    <w:rsid w:val="00E004DB"/>
    <w:rsid w:val="00E005C1"/>
    <w:rsid w:val="00E01B3E"/>
    <w:rsid w:val="00E01C97"/>
    <w:rsid w:val="00E020B4"/>
    <w:rsid w:val="00E028C6"/>
    <w:rsid w:val="00E07299"/>
    <w:rsid w:val="00E10987"/>
    <w:rsid w:val="00E10E9F"/>
    <w:rsid w:val="00E11659"/>
    <w:rsid w:val="00E12162"/>
    <w:rsid w:val="00E1225B"/>
    <w:rsid w:val="00E1237D"/>
    <w:rsid w:val="00E1246C"/>
    <w:rsid w:val="00E15335"/>
    <w:rsid w:val="00E15FE2"/>
    <w:rsid w:val="00E17A0A"/>
    <w:rsid w:val="00E17A6A"/>
    <w:rsid w:val="00E20973"/>
    <w:rsid w:val="00E20EAD"/>
    <w:rsid w:val="00E2114F"/>
    <w:rsid w:val="00E231B5"/>
    <w:rsid w:val="00E26138"/>
    <w:rsid w:val="00E27D5F"/>
    <w:rsid w:val="00E32F77"/>
    <w:rsid w:val="00E33F31"/>
    <w:rsid w:val="00E366F6"/>
    <w:rsid w:val="00E37B03"/>
    <w:rsid w:val="00E41838"/>
    <w:rsid w:val="00E429CC"/>
    <w:rsid w:val="00E44A2E"/>
    <w:rsid w:val="00E456B9"/>
    <w:rsid w:val="00E51892"/>
    <w:rsid w:val="00E51C99"/>
    <w:rsid w:val="00E5267F"/>
    <w:rsid w:val="00E52E82"/>
    <w:rsid w:val="00E541DB"/>
    <w:rsid w:val="00E54F18"/>
    <w:rsid w:val="00E60E89"/>
    <w:rsid w:val="00E61936"/>
    <w:rsid w:val="00E6296B"/>
    <w:rsid w:val="00E62BA0"/>
    <w:rsid w:val="00E64002"/>
    <w:rsid w:val="00E65069"/>
    <w:rsid w:val="00E6615D"/>
    <w:rsid w:val="00E661DA"/>
    <w:rsid w:val="00E666A2"/>
    <w:rsid w:val="00E6675E"/>
    <w:rsid w:val="00E676F8"/>
    <w:rsid w:val="00E6795C"/>
    <w:rsid w:val="00E70CBD"/>
    <w:rsid w:val="00E70FF3"/>
    <w:rsid w:val="00E723B5"/>
    <w:rsid w:val="00E72D9D"/>
    <w:rsid w:val="00E73A92"/>
    <w:rsid w:val="00E760AA"/>
    <w:rsid w:val="00E775D3"/>
    <w:rsid w:val="00E806D4"/>
    <w:rsid w:val="00E827E8"/>
    <w:rsid w:val="00E832F5"/>
    <w:rsid w:val="00E85FC6"/>
    <w:rsid w:val="00E86D1B"/>
    <w:rsid w:val="00E87DB5"/>
    <w:rsid w:val="00E963FB"/>
    <w:rsid w:val="00E966E1"/>
    <w:rsid w:val="00E975A8"/>
    <w:rsid w:val="00EA0275"/>
    <w:rsid w:val="00EA29A3"/>
    <w:rsid w:val="00EA543D"/>
    <w:rsid w:val="00EA71B1"/>
    <w:rsid w:val="00EB025B"/>
    <w:rsid w:val="00EB198B"/>
    <w:rsid w:val="00EB2240"/>
    <w:rsid w:val="00EB38EF"/>
    <w:rsid w:val="00EB44C1"/>
    <w:rsid w:val="00EC15BB"/>
    <w:rsid w:val="00EC161A"/>
    <w:rsid w:val="00EC4E93"/>
    <w:rsid w:val="00EC6E0D"/>
    <w:rsid w:val="00ED006E"/>
    <w:rsid w:val="00ED0802"/>
    <w:rsid w:val="00ED2C58"/>
    <w:rsid w:val="00ED4506"/>
    <w:rsid w:val="00ED5A15"/>
    <w:rsid w:val="00ED5D29"/>
    <w:rsid w:val="00ED6EE3"/>
    <w:rsid w:val="00ED6F01"/>
    <w:rsid w:val="00ED73D7"/>
    <w:rsid w:val="00EE1F28"/>
    <w:rsid w:val="00EE46DE"/>
    <w:rsid w:val="00EE5CC5"/>
    <w:rsid w:val="00EE7541"/>
    <w:rsid w:val="00EE79AE"/>
    <w:rsid w:val="00EF067B"/>
    <w:rsid w:val="00EF0CD0"/>
    <w:rsid w:val="00EF284D"/>
    <w:rsid w:val="00EF2A2C"/>
    <w:rsid w:val="00EF30E5"/>
    <w:rsid w:val="00EF4272"/>
    <w:rsid w:val="00EF5746"/>
    <w:rsid w:val="00EF587D"/>
    <w:rsid w:val="00EF7A51"/>
    <w:rsid w:val="00EF7E66"/>
    <w:rsid w:val="00F0098C"/>
    <w:rsid w:val="00F01284"/>
    <w:rsid w:val="00F03628"/>
    <w:rsid w:val="00F0636C"/>
    <w:rsid w:val="00F06D25"/>
    <w:rsid w:val="00F11E9E"/>
    <w:rsid w:val="00F1504E"/>
    <w:rsid w:val="00F1512E"/>
    <w:rsid w:val="00F156FA"/>
    <w:rsid w:val="00F206EA"/>
    <w:rsid w:val="00F232DE"/>
    <w:rsid w:val="00F24977"/>
    <w:rsid w:val="00F24B2C"/>
    <w:rsid w:val="00F26279"/>
    <w:rsid w:val="00F2705F"/>
    <w:rsid w:val="00F27C6C"/>
    <w:rsid w:val="00F33BDF"/>
    <w:rsid w:val="00F3755A"/>
    <w:rsid w:val="00F37A62"/>
    <w:rsid w:val="00F4129B"/>
    <w:rsid w:val="00F43AF9"/>
    <w:rsid w:val="00F43F47"/>
    <w:rsid w:val="00F45473"/>
    <w:rsid w:val="00F45A78"/>
    <w:rsid w:val="00F468B8"/>
    <w:rsid w:val="00F470C3"/>
    <w:rsid w:val="00F51A9F"/>
    <w:rsid w:val="00F52D4D"/>
    <w:rsid w:val="00F52E60"/>
    <w:rsid w:val="00F537FA"/>
    <w:rsid w:val="00F5462E"/>
    <w:rsid w:val="00F55726"/>
    <w:rsid w:val="00F618F1"/>
    <w:rsid w:val="00F62A1B"/>
    <w:rsid w:val="00F64371"/>
    <w:rsid w:val="00F650D3"/>
    <w:rsid w:val="00F6643C"/>
    <w:rsid w:val="00F66A16"/>
    <w:rsid w:val="00F7024F"/>
    <w:rsid w:val="00F72189"/>
    <w:rsid w:val="00F73219"/>
    <w:rsid w:val="00F73667"/>
    <w:rsid w:val="00F73D39"/>
    <w:rsid w:val="00F7454F"/>
    <w:rsid w:val="00F7637B"/>
    <w:rsid w:val="00F76BCF"/>
    <w:rsid w:val="00F77CF6"/>
    <w:rsid w:val="00F8259E"/>
    <w:rsid w:val="00F8335E"/>
    <w:rsid w:val="00F8376C"/>
    <w:rsid w:val="00F86559"/>
    <w:rsid w:val="00F87C10"/>
    <w:rsid w:val="00F91A36"/>
    <w:rsid w:val="00F91E8F"/>
    <w:rsid w:val="00F92280"/>
    <w:rsid w:val="00F941F9"/>
    <w:rsid w:val="00F943CE"/>
    <w:rsid w:val="00F9478D"/>
    <w:rsid w:val="00FA062B"/>
    <w:rsid w:val="00FA0D5C"/>
    <w:rsid w:val="00FA1077"/>
    <w:rsid w:val="00FA21AA"/>
    <w:rsid w:val="00FA47DC"/>
    <w:rsid w:val="00FA6179"/>
    <w:rsid w:val="00FA66DE"/>
    <w:rsid w:val="00FA6793"/>
    <w:rsid w:val="00FA6C94"/>
    <w:rsid w:val="00FA7CB6"/>
    <w:rsid w:val="00FB071A"/>
    <w:rsid w:val="00FB1A16"/>
    <w:rsid w:val="00FB1A1C"/>
    <w:rsid w:val="00FB2082"/>
    <w:rsid w:val="00FB2692"/>
    <w:rsid w:val="00FB45DC"/>
    <w:rsid w:val="00FB5FAE"/>
    <w:rsid w:val="00FB676B"/>
    <w:rsid w:val="00FB743A"/>
    <w:rsid w:val="00FB75B2"/>
    <w:rsid w:val="00FB7FC4"/>
    <w:rsid w:val="00FC0303"/>
    <w:rsid w:val="00FC1267"/>
    <w:rsid w:val="00FC28C3"/>
    <w:rsid w:val="00FC40BD"/>
    <w:rsid w:val="00FC430A"/>
    <w:rsid w:val="00FC5120"/>
    <w:rsid w:val="00FC5961"/>
    <w:rsid w:val="00FC5F3D"/>
    <w:rsid w:val="00FD0D95"/>
    <w:rsid w:val="00FD2CF8"/>
    <w:rsid w:val="00FD3526"/>
    <w:rsid w:val="00FD5713"/>
    <w:rsid w:val="00FD6CF0"/>
    <w:rsid w:val="00FD7CF9"/>
    <w:rsid w:val="00FE0185"/>
    <w:rsid w:val="00FE0DFF"/>
    <w:rsid w:val="00FE39A9"/>
    <w:rsid w:val="00FE4B86"/>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List Paragraph compact,Paragraphe de liste 2,Reference list,Bullet list,Numbered List,Lettre d'introduction,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 Paragraph compact Char,Paragraphe de liste 2 Char,L Char"/>
    <w:link w:val="ListParagraph"/>
    <w:uiPriority w:val="34"/>
    <w:qFormat/>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character" w:customStyle="1" w:styleId="spar">
    <w:name w:val="s_par"/>
    <w:basedOn w:val="DefaultParagraphFont"/>
    <w:rsid w:val="009B4A6C"/>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DefaultParagraphFont"/>
    <w:uiPriority w:val="34"/>
    <w:locked/>
    <w:rsid w:val="00DC023B"/>
  </w:style>
  <w:style w:type="paragraph" w:styleId="NormalWeb">
    <w:name w:val="Normal (Web)"/>
    <w:basedOn w:val="Normal"/>
    <w:uiPriority w:val="99"/>
    <w:semiHidden/>
    <w:unhideWhenUsed/>
    <w:rsid w:val="007E02DA"/>
    <w:pPr>
      <w:spacing w:before="100" w:beforeAutospacing="1" w:after="100" w:afterAutospacing="1"/>
    </w:pPr>
    <w:rPr>
      <w:lang w:val="en-US"/>
    </w:rPr>
  </w:style>
  <w:style w:type="character" w:styleId="Strong">
    <w:name w:val="Strong"/>
    <w:basedOn w:val="DefaultParagraphFont"/>
    <w:uiPriority w:val="22"/>
    <w:qFormat/>
    <w:rsid w:val="007E02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31749">
      <w:bodyDiv w:val="1"/>
      <w:marLeft w:val="0"/>
      <w:marRight w:val="0"/>
      <w:marTop w:val="0"/>
      <w:marBottom w:val="0"/>
      <w:divBdr>
        <w:top w:val="none" w:sz="0" w:space="0" w:color="auto"/>
        <w:left w:val="none" w:sz="0" w:space="0" w:color="auto"/>
        <w:bottom w:val="none" w:sz="0" w:space="0" w:color="auto"/>
        <w:right w:val="none" w:sz="0" w:space="0" w:color="auto"/>
      </w:divBdr>
    </w:div>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198783476">
      <w:bodyDiv w:val="1"/>
      <w:marLeft w:val="0"/>
      <w:marRight w:val="0"/>
      <w:marTop w:val="0"/>
      <w:marBottom w:val="0"/>
      <w:divBdr>
        <w:top w:val="none" w:sz="0" w:space="0" w:color="auto"/>
        <w:left w:val="none" w:sz="0" w:space="0" w:color="auto"/>
        <w:bottom w:val="none" w:sz="0" w:space="0" w:color="auto"/>
        <w:right w:val="none" w:sz="0" w:space="0" w:color="auto"/>
      </w:divBdr>
    </w:div>
    <w:div w:id="261960808">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554852582">
      <w:bodyDiv w:val="1"/>
      <w:marLeft w:val="0"/>
      <w:marRight w:val="0"/>
      <w:marTop w:val="0"/>
      <w:marBottom w:val="0"/>
      <w:divBdr>
        <w:top w:val="none" w:sz="0" w:space="0" w:color="auto"/>
        <w:left w:val="none" w:sz="0" w:space="0" w:color="auto"/>
        <w:bottom w:val="none" w:sz="0" w:space="0" w:color="auto"/>
        <w:right w:val="none" w:sz="0" w:space="0" w:color="auto"/>
      </w:divBdr>
    </w:div>
    <w:div w:id="576403004">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08457000">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875196683">
      <w:bodyDiv w:val="1"/>
      <w:marLeft w:val="0"/>
      <w:marRight w:val="0"/>
      <w:marTop w:val="0"/>
      <w:marBottom w:val="0"/>
      <w:divBdr>
        <w:top w:val="none" w:sz="0" w:space="0" w:color="auto"/>
        <w:left w:val="none" w:sz="0" w:space="0" w:color="auto"/>
        <w:bottom w:val="none" w:sz="0" w:space="0" w:color="auto"/>
        <w:right w:val="none" w:sz="0" w:space="0" w:color="auto"/>
      </w:divBdr>
    </w:div>
    <w:div w:id="987369302">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699650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1460323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67911246">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2031695">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6722100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 w:id="207712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uploads/articole/attachments/61cc3d38a6300826238736.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3DADE-CE45-42B2-B7D1-9EED0D55C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4508</Words>
  <Characters>25699</Characters>
  <Application>Microsoft Office Word</Application>
  <DocSecurity>0</DocSecurity>
  <Lines>214</Lines>
  <Paragraphs>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Consuela Iacob</cp:lastModifiedBy>
  <cp:revision>4</cp:revision>
  <cp:lastPrinted>2023-05-11T12:17:00Z</cp:lastPrinted>
  <dcterms:created xsi:type="dcterms:W3CDTF">2023-05-15T06:58:00Z</dcterms:created>
  <dcterms:modified xsi:type="dcterms:W3CDTF">2023-05-15T07:08:00Z</dcterms:modified>
</cp:coreProperties>
</file>